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24CE5" w14:textId="1BF1C158" w:rsidR="0070600B" w:rsidRDefault="0070600B" w:rsidP="005F1169">
      <w:pPr>
        <w:rPr>
          <w:rFonts w:ascii="Times New Roman" w:eastAsia="宋体" w:hAnsi="Times New Roman" w:cs="Times New Roman"/>
          <w:b/>
          <w:bCs/>
          <w:sz w:val="28"/>
        </w:rPr>
      </w:pPr>
      <w:bookmarkStart w:id="0" w:name="OLE_LINK4"/>
      <w:bookmarkStart w:id="1" w:name="OLE_LINK3"/>
      <w:r>
        <w:rPr>
          <w:rFonts w:ascii="Times New Roman" w:eastAsia="Batang" w:hAnsi="Times New Roman" w:cs="Times New Roman" w:hint="eastAsia"/>
          <w:b/>
          <w:bCs/>
          <w:sz w:val="28"/>
          <w:lang w:eastAsia="en-US"/>
        </w:rPr>
        <w:t>3GPP TSG RAN WG1 #11</w:t>
      </w:r>
      <w:r w:rsidR="001D6FB4">
        <w:rPr>
          <w:rFonts w:ascii="Times New Roman" w:eastAsia="宋体" w:hAnsi="Times New Roman" w:cs="Times New Roman"/>
          <w:b/>
          <w:bCs/>
          <w:sz w:val="28"/>
        </w:rPr>
        <w:t>6</w:t>
      </w:r>
      <w:r>
        <w:rPr>
          <w:rFonts w:ascii="Times New Roman" w:eastAsia="Batang" w:hAnsi="Times New Roman" w:cs="Times New Roman" w:hint="eastAsia"/>
          <w:b/>
          <w:bCs/>
          <w:sz w:val="28"/>
          <w:lang w:eastAsia="en-US"/>
        </w:rPr>
        <w:t xml:space="preserve">  </w:t>
      </w:r>
      <w:r w:rsidR="00605C38">
        <w:rPr>
          <w:rFonts w:ascii="Times New Roman" w:eastAsia="Batang" w:hAnsi="Times New Roman" w:cs="Times New Roman"/>
          <w:b/>
          <w:bCs/>
          <w:sz w:val="28"/>
          <w:lang w:eastAsia="en-US"/>
        </w:rPr>
        <w:t xml:space="preserve"> </w:t>
      </w:r>
      <w:r>
        <w:rPr>
          <w:rFonts w:ascii="Times New Roman" w:eastAsia="Batang" w:hAnsi="Times New Roman" w:cs="Times New Roman" w:hint="eastAsia"/>
          <w:b/>
          <w:bCs/>
          <w:sz w:val="28"/>
          <w:lang w:eastAsia="en-US"/>
        </w:rPr>
        <w:t xml:space="preserve">                          </w:t>
      </w:r>
      <w:r>
        <w:rPr>
          <w:rFonts w:ascii="Times New Roman" w:eastAsia="Batang" w:hAnsi="Times New Roman" w:cs="Times New Roman"/>
          <w:b/>
          <w:bCs/>
          <w:sz w:val="28"/>
          <w:lang w:eastAsia="en-US"/>
        </w:rPr>
        <w:t xml:space="preserve">      </w:t>
      </w:r>
      <w:r w:rsidR="00007D05">
        <w:rPr>
          <w:rFonts w:ascii="Times New Roman" w:eastAsia="Batang" w:hAnsi="Times New Roman" w:cs="Times New Roman"/>
          <w:b/>
          <w:bCs/>
          <w:sz w:val="28"/>
          <w:lang w:eastAsia="en-US"/>
        </w:rPr>
        <w:t xml:space="preserve"> </w:t>
      </w:r>
      <w:r w:rsidR="003B14BD" w:rsidRPr="003B14BD">
        <w:rPr>
          <w:rFonts w:ascii="Times New Roman" w:eastAsia="Batang" w:hAnsi="Times New Roman" w:cs="Times New Roman"/>
          <w:b/>
          <w:bCs/>
          <w:sz w:val="28"/>
          <w:lang w:eastAsia="en-US"/>
        </w:rPr>
        <w:t>R1-2</w:t>
      </w:r>
      <w:r w:rsidR="001D6FB4">
        <w:rPr>
          <w:rFonts w:ascii="Times New Roman" w:eastAsia="Batang" w:hAnsi="Times New Roman" w:cs="Times New Roman"/>
          <w:b/>
          <w:bCs/>
          <w:sz w:val="28"/>
          <w:lang w:eastAsia="en-US"/>
        </w:rPr>
        <w:t>4</w:t>
      </w:r>
      <w:r w:rsidR="003B14BD" w:rsidRPr="003B14BD">
        <w:rPr>
          <w:rFonts w:ascii="Times New Roman" w:eastAsia="Batang" w:hAnsi="Times New Roman" w:cs="Times New Roman"/>
          <w:b/>
          <w:bCs/>
          <w:sz w:val="28"/>
          <w:lang w:eastAsia="en-US"/>
        </w:rPr>
        <w:t>0</w:t>
      </w:r>
      <w:r w:rsidR="00A83FDD" w:rsidRPr="00A83FDD">
        <w:rPr>
          <w:rFonts w:ascii="Times New Roman" w:eastAsia="Batang" w:hAnsi="Times New Roman" w:cs="Times New Roman"/>
          <w:b/>
          <w:bCs/>
          <w:sz w:val="28"/>
          <w:lang w:eastAsia="en-US"/>
        </w:rPr>
        <w:t>0307</w:t>
      </w:r>
    </w:p>
    <w:p w14:paraId="64FDA617" w14:textId="41139A9F" w:rsidR="0070600B" w:rsidRDefault="001D6FB4" w:rsidP="005F1169">
      <w:pPr>
        <w:rPr>
          <w:rFonts w:ascii="Times New Roman" w:eastAsia="Batang" w:hAnsi="Times New Roman" w:cs="Times New Roman"/>
          <w:b/>
          <w:bCs/>
          <w:sz w:val="28"/>
          <w:lang w:eastAsia="en-US"/>
        </w:rPr>
      </w:pPr>
      <w:bookmarkStart w:id="2" w:name="_Hlk142330149"/>
      <w:r w:rsidRPr="001D6FB4">
        <w:rPr>
          <w:rFonts w:ascii="Times New Roman" w:eastAsia="Batang" w:hAnsi="Times New Roman" w:cs="Times New Roman"/>
          <w:b/>
          <w:bCs/>
          <w:sz w:val="28"/>
          <w:lang w:eastAsia="en-US"/>
        </w:rPr>
        <w:t>Athens, Greece, February 26</w:t>
      </w:r>
      <w:r w:rsidRPr="001D6FB4">
        <w:rPr>
          <w:rFonts w:ascii="Times New Roman" w:eastAsia="Batang" w:hAnsi="Times New Roman" w:cs="Times New Roman"/>
          <w:b/>
          <w:bCs/>
          <w:sz w:val="28"/>
          <w:vertAlign w:val="superscript"/>
          <w:lang w:eastAsia="en-US"/>
        </w:rPr>
        <w:t>th</w:t>
      </w:r>
      <w:r w:rsidRPr="001D6FB4">
        <w:rPr>
          <w:rFonts w:ascii="Times New Roman" w:eastAsia="Batang" w:hAnsi="Times New Roman" w:cs="Times New Roman"/>
          <w:b/>
          <w:bCs/>
          <w:sz w:val="28"/>
          <w:lang w:eastAsia="en-US"/>
        </w:rPr>
        <w:t xml:space="preserve"> – March 1</w:t>
      </w:r>
      <w:r w:rsidRPr="001D6FB4">
        <w:rPr>
          <w:rFonts w:ascii="Times New Roman" w:eastAsia="Batang" w:hAnsi="Times New Roman" w:cs="Times New Roman"/>
          <w:b/>
          <w:bCs/>
          <w:sz w:val="28"/>
          <w:vertAlign w:val="superscript"/>
          <w:lang w:eastAsia="en-US"/>
        </w:rPr>
        <w:t>st</w:t>
      </w:r>
      <w:r w:rsidRPr="001D6FB4">
        <w:rPr>
          <w:rFonts w:ascii="Times New Roman" w:eastAsia="Batang" w:hAnsi="Times New Roman" w:cs="Times New Roman"/>
          <w:b/>
          <w:bCs/>
          <w:sz w:val="28"/>
          <w:lang w:eastAsia="en-US"/>
        </w:rPr>
        <w:t>, 2024</w:t>
      </w:r>
    </w:p>
    <w:bookmarkEnd w:id="2"/>
    <w:p w14:paraId="1FF0EF59" w14:textId="77777777" w:rsidR="0070600B" w:rsidRPr="00B13B99" w:rsidRDefault="0070600B" w:rsidP="005F1169">
      <w:pPr>
        <w:rPr>
          <w:rFonts w:ascii="Times New Roman" w:eastAsia="Batang" w:hAnsi="Times New Roman" w:cs="Times New Roman"/>
          <w:b/>
          <w:bCs/>
          <w:sz w:val="28"/>
        </w:rPr>
      </w:pPr>
    </w:p>
    <w:p w14:paraId="7CD9D509" w14:textId="77777777" w:rsidR="0070600B" w:rsidRDefault="0070600B" w:rsidP="005F1169">
      <w:pPr>
        <w:pStyle w:val="TdocHeader2"/>
        <w:spacing w:beforeLines="0" w:afterLines="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4BCEA50B" w14:textId="495FAC89" w:rsidR="0070600B" w:rsidRDefault="0070600B" w:rsidP="005F1169">
      <w:pPr>
        <w:pStyle w:val="TdocHeader2"/>
        <w:spacing w:beforeLines="0" w:afterLines="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1D6FB4" w:rsidRPr="001D6FB4">
        <w:rPr>
          <w:rFonts w:ascii="Times New Roman" w:hAnsi="Times New Roman"/>
          <w:sz w:val="24"/>
          <w:szCs w:val="24"/>
          <w:lang w:val="en-US"/>
        </w:rPr>
        <w:t>Discussion on RAN4 LS on Layer-1/2/3 ATG UE features and koffset mechanism</w:t>
      </w:r>
    </w:p>
    <w:p w14:paraId="519E6AB1" w14:textId="39D38825" w:rsidR="0070600B" w:rsidRDefault="0070600B" w:rsidP="005F1169">
      <w:pPr>
        <w:pStyle w:val="TdocHeader2"/>
        <w:spacing w:beforeLines="0" w:afterLines="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5</w:t>
      </w:r>
    </w:p>
    <w:p w14:paraId="58C739EA" w14:textId="3BFC8657" w:rsidR="006A3B9B" w:rsidRPr="0070600B" w:rsidRDefault="0070600B" w:rsidP="005F1169">
      <w:pPr>
        <w:pStyle w:val="TdocHeader2"/>
        <w:spacing w:beforeLines="0" w:afterLines="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6E05A17E" w14:textId="77777777" w:rsidR="006A3B9B" w:rsidRDefault="00000000" w:rsidP="00EB5CBA">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bookmarkStart w:id="4" w:name="_Toc120549591"/>
      <w:bookmarkStart w:id="5" w:name="_Hlk521259925"/>
      <w:bookmarkEnd w:id="0"/>
      <w:bookmarkEnd w:id="1"/>
      <w:r>
        <w:rPr>
          <w:rFonts w:ascii="Times New Roman" w:hAnsi="Times New Roman"/>
          <w:sz w:val="28"/>
          <w:szCs w:val="28"/>
          <w:lang w:eastAsia="zh-CN"/>
        </w:rPr>
        <w:t>Introduction</w:t>
      </w:r>
      <w:bookmarkEnd w:id="4"/>
    </w:p>
    <w:p w14:paraId="59365CD9" w14:textId="570FDBCC" w:rsidR="006A3B9B" w:rsidRDefault="00000000" w:rsidP="00992377">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RAN</w:t>
      </w:r>
      <w:r w:rsidR="0070600B">
        <w:rPr>
          <w:rFonts w:ascii="Times New Roman" w:hAnsi="Times New Roman" w:cs="Times New Roman"/>
          <w:bCs/>
          <w:iCs/>
          <w:sz w:val="20"/>
          <w:szCs w:val="20"/>
        </w:rPr>
        <w:t>4</w:t>
      </w:r>
      <w:r>
        <w:rPr>
          <w:rFonts w:ascii="Times New Roman" w:hAnsi="Times New Roman" w:cs="Times New Roman"/>
          <w:bCs/>
          <w:iCs/>
          <w:sz w:val="20"/>
          <w:szCs w:val="20"/>
        </w:rPr>
        <w:t xml:space="preserve"> sent an LS to RAN1 regarding</w:t>
      </w:r>
      <w:r w:rsidR="001D6FB4">
        <w:rPr>
          <w:rFonts w:ascii="Times New Roman" w:hAnsi="Times New Roman" w:cs="Times New Roman"/>
          <w:bCs/>
          <w:iCs/>
          <w:sz w:val="20"/>
          <w:szCs w:val="20"/>
        </w:rPr>
        <w:t xml:space="preserve"> the</w:t>
      </w:r>
      <w:r>
        <w:rPr>
          <w:rFonts w:ascii="Times New Roman" w:hAnsi="Times New Roman" w:cs="Times New Roman"/>
          <w:bCs/>
          <w:iCs/>
          <w:sz w:val="20"/>
          <w:szCs w:val="20"/>
        </w:rPr>
        <w:t xml:space="preserve"> </w:t>
      </w:r>
      <w:r w:rsidR="001D6FB4">
        <w:rPr>
          <w:rFonts w:ascii="Times New Roman" w:hAnsi="Times New Roman" w:cs="Times New Roman"/>
          <w:bCs/>
          <w:iCs/>
          <w:sz w:val="20"/>
          <w:szCs w:val="20"/>
        </w:rPr>
        <w:t xml:space="preserve">new </w:t>
      </w:r>
      <w:r w:rsidR="00EB5CBA">
        <w:rPr>
          <w:rFonts w:ascii="Times New Roman" w:hAnsi="Times New Roman" w:cs="Times New Roman"/>
          <w:bCs/>
          <w:iCs/>
          <w:sz w:val="20"/>
          <w:szCs w:val="20"/>
        </w:rPr>
        <w:t xml:space="preserve">UE features </w:t>
      </w:r>
      <w:r w:rsidR="00B565E7">
        <w:rPr>
          <w:rFonts w:ascii="Times New Roman" w:hAnsi="Times New Roman" w:cs="Times New Roman"/>
          <w:bCs/>
          <w:iCs/>
          <w:sz w:val="20"/>
          <w:szCs w:val="20"/>
        </w:rPr>
        <w:t xml:space="preserve">introduced for Rel-18 NR ATG </w:t>
      </w:r>
      <w:r w:rsidR="00A76212">
        <w:rPr>
          <w:rFonts w:ascii="Times New Roman" w:hAnsi="Times New Roman" w:cs="Times New Roman"/>
          <w:bCs/>
          <w:iCs/>
          <w:sz w:val="20"/>
          <w:szCs w:val="20"/>
        </w:rPr>
        <w:t xml:space="preserve">in </w:t>
      </w:r>
      <w:r w:rsidR="00A76212" w:rsidRPr="00F072FE">
        <w:rPr>
          <w:rFonts w:ascii="Times New Roman" w:hAnsi="Times New Roman" w:cs="Times New Roman"/>
          <w:bCs/>
          <w:iCs/>
          <w:sz w:val="20"/>
          <w:szCs w:val="20"/>
        </w:rPr>
        <w:t>RAN4</w:t>
      </w:r>
      <w:r w:rsidRPr="00F072FE">
        <w:rPr>
          <w:rFonts w:ascii="Times New Roman" w:hAnsi="Times New Roman" w:cs="Times New Roman"/>
          <w:bCs/>
          <w:iCs/>
          <w:sz w:val="20"/>
          <w:szCs w:val="20"/>
        </w:rPr>
        <w:t xml:space="preserve"> [1]. In the LS, RAN</w:t>
      </w:r>
      <w:r w:rsidR="00EB5CBA" w:rsidRPr="00F072FE">
        <w:rPr>
          <w:rFonts w:ascii="Times New Roman" w:hAnsi="Times New Roman" w:cs="Times New Roman"/>
          <w:bCs/>
          <w:iCs/>
          <w:sz w:val="20"/>
          <w:szCs w:val="20"/>
        </w:rPr>
        <w:t xml:space="preserve">4 provided </w:t>
      </w:r>
      <w:r w:rsidR="00155D25" w:rsidRPr="00F072FE">
        <w:rPr>
          <w:rFonts w:ascii="Times New Roman" w:hAnsi="Times New Roman" w:cs="Times New Roman"/>
          <w:bCs/>
          <w:iCs/>
          <w:sz w:val="20"/>
          <w:szCs w:val="20"/>
        </w:rPr>
        <w:t xml:space="preserve">Layer-1/2/3 </w:t>
      </w:r>
      <w:r w:rsidR="00B565E7" w:rsidRPr="00F072FE">
        <w:rPr>
          <w:rFonts w:ascii="Times New Roman" w:hAnsi="Times New Roman" w:cs="Times New Roman"/>
          <w:bCs/>
          <w:iCs/>
          <w:sz w:val="20"/>
          <w:szCs w:val="20"/>
        </w:rPr>
        <w:t xml:space="preserve">UE </w:t>
      </w:r>
      <w:r w:rsidR="00155D25" w:rsidRPr="00F072FE">
        <w:rPr>
          <w:rFonts w:ascii="Times New Roman" w:hAnsi="Times New Roman" w:cs="Times New Roman"/>
          <w:bCs/>
          <w:iCs/>
          <w:sz w:val="20"/>
          <w:szCs w:val="20"/>
        </w:rPr>
        <w:t>features</w:t>
      </w:r>
      <w:r w:rsidR="00A76212" w:rsidRPr="00F072FE">
        <w:rPr>
          <w:rFonts w:ascii="Times New Roman" w:hAnsi="Times New Roman" w:cs="Times New Roman"/>
          <w:bCs/>
          <w:iCs/>
          <w:sz w:val="20"/>
          <w:szCs w:val="20"/>
        </w:rPr>
        <w:t xml:space="preserve"> for Rel-18 NR ATG and the agreement</w:t>
      </w:r>
      <w:r w:rsidR="004422E1" w:rsidRPr="00F072FE">
        <w:rPr>
          <w:rFonts w:ascii="Times New Roman" w:hAnsi="Times New Roman" w:cs="Times New Roman"/>
          <w:bCs/>
          <w:iCs/>
          <w:sz w:val="20"/>
          <w:szCs w:val="20"/>
        </w:rPr>
        <w:t>s</w:t>
      </w:r>
      <w:r w:rsidR="00A76212" w:rsidRPr="00F072FE">
        <w:rPr>
          <w:rFonts w:ascii="Times New Roman" w:hAnsi="Times New Roman" w:cs="Times New Roman"/>
          <w:bCs/>
          <w:iCs/>
          <w:sz w:val="20"/>
          <w:szCs w:val="20"/>
        </w:rPr>
        <w:t xml:space="preserve"> </w:t>
      </w:r>
      <w:r w:rsidR="004422E1" w:rsidRPr="00F072FE">
        <w:rPr>
          <w:rFonts w:ascii="Times New Roman" w:hAnsi="Times New Roman" w:cs="Times New Roman"/>
          <w:bCs/>
          <w:iCs/>
          <w:sz w:val="20"/>
          <w:szCs w:val="20"/>
        </w:rPr>
        <w:t>on</w:t>
      </w:r>
      <w:r w:rsidR="009014CB" w:rsidRPr="00F072FE">
        <w:rPr>
          <w:rFonts w:ascii="Times New Roman" w:hAnsi="Times New Roman" w:cs="Times New Roman"/>
          <w:bCs/>
          <w:iCs/>
          <w:sz w:val="20"/>
          <w:szCs w:val="20"/>
        </w:rPr>
        <w:t xml:space="preserve"> the details </w:t>
      </w:r>
      <w:r w:rsidR="00A76212" w:rsidRPr="00F072FE">
        <w:rPr>
          <w:rFonts w:ascii="Times New Roman" w:hAnsi="Times New Roman" w:cs="Times New Roman"/>
          <w:bCs/>
          <w:iCs/>
          <w:sz w:val="20"/>
          <w:szCs w:val="20"/>
        </w:rPr>
        <w:t>of ATG k</w:t>
      </w:r>
      <w:r w:rsidR="00A76212" w:rsidRPr="00F072FE">
        <w:rPr>
          <w:rFonts w:ascii="Times New Roman" w:hAnsi="Times New Roman" w:cs="Times New Roman"/>
          <w:bCs/>
          <w:iCs/>
          <w:sz w:val="20"/>
          <w:szCs w:val="20"/>
          <w:vertAlign w:val="subscript"/>
        </w:rPr>
        <w:t>offset</w:t>
      </w:r>
      <w:r w:rsidR="00A76212" w:rsidRPr="00F072FE">
        <w:rPr>
          <w:rFonts w:ascii="Times New Roman" w:hAnsi="Times New Roman" w:cs="Times New Roman"/>
          <w:bCs/>
          <w:iCs/>
          <w:sz w:val="20"/>
          <w:szCs w:val="20"/>
        </w:rPr>
        <w:t xml:space="preserve"> mechanis</w:t>
      </w:r>
      <w:r w:rsidR="00A76212" w:rsidRPr="00A76212">
        <w:rPr>
          <w:rFonts w:ascii="Times New Roman" w:hAnsi="Times New Roman" w:cs="Times New Roman"/>
          <w:bCs/>
          <w:iCs/>
          <w:sz w:val="20"/>
          <w:szCs w:val="20"/>
        </w:rPr>
        <w:t>m</w:t>
      </w:r>
      <w:r w:rsidR="00155D25">
        <w:rPr>
          <w:rFonts w:ascii="Times New Roman" w:hAnsi="Times New Roman" w:cs="Times New Roman"/>
          <w:bCs/>
          <w:iCs/>
          <w:sz w:val="20"/>
          <w:szCs w:val="20"/>
        </w:rPr>
        <w:t>.</w:t>
      </w:r>
      <w:r w:rsidR="009014CB">
        <w:rPr>
          <w:rFonts w:ascii="Times New Roman" w:hAnsi="Times New Roman" w:cs="Times New Roman"/>
          <w:bCs/>
          <w:iCs/>
          <w:sz w:val="20"/>
          <w:szCs w:val="20"/>
        </w:rPr>
        <w:t xml:space="preserve"> Considering the </w:t>
      </w:r>
      <w:r w:rsidR="009014CB" w:rsidRPr="009014CB">
        <w:rPr>
          <w:rFonts w:ascii="Times New Roman" w:hAnsi="Times New Roman" w:cs="Times New Roman"/>
          <w:bCs/>
          <w:iCs/>
          <w:sz w:val="20"/>
          <w:szCs w:val="20"/>
        </w:rPr>
        <w:t>Layer-1 new ATG UE features</w:t>
      </w:r>
      <w:r w:rsidR="009014CB">
        <w:rPr>
          <w:rFonts w:ascii="Times New Roman" w:hAnsi="Times New Roman" w:cs="Times New Roman"/>
          <w:bCs/>
          <w:iCs/>
          <w:sz w:val="20"/>
          <w:szCs w:val="20"/>
        </w:rPr>
        <w:t xml:space="preserve">, </w:t>
      </w:r>
      <w:r w:rsidR="00877104">
        <w:rPr>
          <w:rFonts w:ascii="Times New Roman" w:hAnsi="Times New Roman" w:cs="Times New Roman"/>
          <w:bCs/>
          <w:iCs/>
          <w:sz w:val="20"/>
          <w:szCs w:val="20"/>
        </w:rPr>
        <w:t xml:space="preserve">RAN4 also </w:t>
      </w:r>
      <w:r w:rsidR="00364B4B">
        <w:rPr>
          <w:rFonts w:ascii="Times New Roman" w:hAnsi="Times New Roman" w:cs="Times New Roman"/>
          <w:bCs/>
          <w:iCs/>
          <w:sz w:val="20"/>
          <w:szCs w:val="20"/>
        </w:rPr>
        <w:t xml:space="preserve">requested RAN1 to </w:t>
      </w:r>
      <w:r w:rsidR="009014CB">
        <w:rPr>
          <w:rFonts w:ascii="Times New Roman" w:hAnsi="Times New Roman" w:cs="Times New Roman"/>
          <w:bCs/>
          <w:iCs/>
          <w:sz w:val="20"/>
          <w:szCs w:val="20"/>
        </w:rPr>
        <w:t>introduce the corresponding ATG UE features into RAN1 UE feature list</w:t>
      </w:r>
      <w:r w:rsidR="00364B4B">
        <w:rPr>
          <w:rFonts w:ascii="Times New Roman" w:hAnsi="Times New Roman" w:cs="Times New Roman"/>
          <w:bCs/>
          <w:iCs/>
          <w:sz w:val="20"/>
          <w:szCs w:val="20"/>
        </w:rPr>
        <w:t>.</w:t>
      </w:r>
    </w:p>
    <w:tbl>
      <w:tblPr>
        <w:tblStyle w:val="aff1"/>
        <w:tblW w:w="0" w:type="auto"/>
        <w:tblLook w:val="04A0" w:firstRow="1" w:lastRow="0" w:firstColumn="1" w:lastColumn="0" w:noHBand="0" w:noVBand="1"/>
      </w:tblPr>
      <w:tblGrid>
        <w:gridCol w:w="9962"/>
      </w:tblGrid>
      <w:tr w:rsidR="006A3B9B" w14:paraId="513C0CD7" w14:textId="77777777">
        <w:tc>
          <w:tcPr>
            <w:tcW w:w="9962" w:type="dxa"/>
          </w:tcPr>
          <w:p w14:paraId="287D437F" w14:textId="77777777" w:rsidR="00EB5CBA" w:rsidRPr="00EB5CBA" w:rsidRDefault="00EB5CBA" w:rsidP="00992377">
            <w:pPr>
              <w:spacing w:before="50" w:after="50"/>
              <w:ind w:left="1985" w:hanging="1985"/>
              <w:rPr>
                <w:rFonts w:eastAsia="等线"/>
                <w:b/>
                <w:color w:val="000000"/>
                <w:sz w:val="20"/>
              </w:rPr>
            </w:pPr>
            <w:bookmarkStart w:id="6" w:name="_Hlk142332824"/>
            <w:r w:rsidRPr="00EB5CBA">
              <w:rPr>
                <w:rFonts w:eastAsia="等线"/>
                <w:b/>
                <w:color w:val="000000"/>
                <w:sz w:val="20"/>
              </w:rPr>
              <w:t>To RAN1</w:t>
            </w:r>
          </w:p>
          <w:p w14:paraId="07AE9FFB" w14:textId="5C791690" w:rsidR="006A3B9B" w:rsidRPr="00EB5CBA" w:rsidRDefault="00EB5CBA" w:rsidP="00992377">
            <w:pPr>
              <w:spacing w:before="50" w:after="50"/>
              <w:ind w:left="993" w:hanging="993"/>
              <w:rPr>
                <w:rFonts w:ascii="Arial" w:eastAsia="等线" w:hAnsi="Arial" w:cs="Arial"/>
                <w:color w:val="000000"/>
                <w:sz w:val="20"/>
              </w:rPr>
            </w:pPr>
            <w:r w:rsidRPr="00EB5CBA">
              <w:rPr>
                <w:rFonts w:eastAsia="等线"/>
                <w:b/>
                <w:color w:val="000000"/>
                <w:sz w:val="20"/>
              </w:rPr>
              <w:t xml:space="preserve">ACTION: </w:t>
            </w:r>
            <w:r w:rsidRPr="00EB5CBA">
              <w:rPr>
                <w:rFonts w:eastAsia="等线"/>
                <w:b/>
                <w:color w:val="000000"/>
                <w:sz w:val="20"/>
              </w:rPr>
              <w:tab/>
            </w:r>
            <w:r w:rsidR="003C671F" w:rsidRPr="003C671F">
              <w:rPr>
                <w:rFonts w:eastAsia="等线"/>
                <w:sz w:val="20"/>
              </w:rPr>
              <w:t>RAN4 kindly requests RAN1 to introduce Layer-1 ATG UE features into Rel-18 RAN1 UE feature list with taking the above information into consideration.</w:t>
            </w:r>
            <w:r w:rsidRPr="00EB5CBA">
              <w:rPr>
                <w:rFonts w:eastAsia="等线"/>
                <w:color w:val="000000"/>
                <w:sz w:val="20"/>
              </w:rPr>
              <w:t xml:space="preserve"> </w:t>
            </w:r>
          </w:p>
        </w:tc>
      </w:tr>
    </w:tbl>
    <w:bookmarkEnd w:id="6"/>
    <w:p w14:paraId="3D931D84" w14:textId="5354E9C6" w:rsidR="006A3B9B" w:rsidRDefault="00000000" w:rsidP="00992377">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this contribution, we will provide our </w:t>
      </w:r>
      <w:r w:rsidR="004422E1">
        <w:rPr>
          <w:rFonts w:ascii="Times New Roman" w:hAnsi="Times New Roman" w:cs="Times New Roman"/>
          <w:bCs/>
          <w:iCs/>
          <w:sz w:val="20"/>
          <w:szCs w:val="20"/>
        </w:rPr>
        <w:t>views</w:t>
      </w:r>
      <w:r>
        <w:rPr>
          <w:rFonts w:ascii="Times New Roman" w:hAnsi="Times New Roman" w:cs="Times New Roman"/>
          <w:bCs/>
          <w:iCs/>
          <w:sz w:val="20"/>
          <w:szCs w:val="20"/>
        </w:rPr>
        <w:t xml:space="preserve"> on </w:t>
      </w:r>
      <w:r w:rsidR="003C671F">
        <w:rPr>
          <w:rFonts w:ascii="Times New Roman" w:hAnsi="Times New Roman" w:cs="Times New Roman"/>
          <w:bCs/>
          <w:iCs/>
          <w:sz w:val="20"/>
          <w:szCs w:val="20"/>
        </w:rPr>
        <w:t xml:space="preserve">Layer-1 new ATG UE </w:t>
      </w:r>
      <w:r w:rsidR="00364B4B">
        <w:rPr>
          <w:rFonts w:ascii="Times New Roman" w:hAnsi="Times New Roman" w:cs="Times New Roman"/>
          <w:bCs/>
          <w:iCs/>
          <w:sz w:val="20"/>
          <w:szCs w:val="20"/>
        </w:rPr>
        <w:t>features</w:t>
      </w:r>
      <w:r w:rsidR="00A76212">
        <w:rPr>
          <w:rFonts w:ascii="Times New Roman" w:hAnsi="Times New Roman" w:cs="Times New Roman"/>
          <w:bCs/>
          <w:iCs/>
          <w:sz w:val="20"/>
          <w:szCs w:val="20"/>
        </w:rPr>
        <w:t xml:space="preserve"> </w:t>
      </w:r>
      <w:r>
        <w:rPr>
          <w:rFonts w:ascii="Times New Roman" w:hAnsi="Times New Roman" w:cs="Times New Roman"/>
          <w:bCs/>
          <w:iCs/>
          <w:sz w:val="20"/>
          <w:szCs w:val="20"/>
        </w:rPr>
        <w:t xml:space="preserve">and potential </w:t>
      </w:r>
      <w:r w:rsidR="008151A0">
        <w:rPr>
          <w:rFonts w:ascii="Times New Roman" w:hAnsi="Times New Roman" w:cs="Times New Roman"/>
          <w:bCs/>
          <w:iCs/>
          <w:sz w:val="20"/>
          <w:szCs w:val="20"/>
        </w:rPr>
        <w:t>spec impact of Rel-18 NR ATG</w:t>
      </w:r>
      <w:r w:rsidR="008151A0" w:rsidRPr="008151A0">
        <w:rPr>
          <w:rFonts w:ascii="Times New Roman" w:hAnsi="Times New Roman" w:cs="Times New Roman"/>
          <w:bCs/>
          <w:iCs/>
          <w:sz w:val="20"/>
          <w:szCs w:val="20"/>
        </w:rPr>
        <w:t>.</w:t>
      </w:r>
    </w:p>
    <w:p w14:paraId="4FE02373" w14:textId="77777777" w:rsidR="006A3B9B" w:rsidRDefault="00000000" w:rsidP="00EB5CBA">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t>Discussion</w:t>
      </w:r>
    </w:p>
    <w:p w14:paraId="7CC83F53" w14:textId="09851C48" w:rsidR="00ED774C" w:rsidRDefault="00525C27" w:rsidP="005F1169">
      <w:pPr>
        <w:widowControl/>
        <w:adjustRightInd w:val="0"/>
        <w:snapToGrid w:val="0"/>
        <w:spacing w:beforeLines="50" w:before="120" w:afterLines="50" w:after="120"/>
        <w:rPr>
          <w:rFonts w:ascii="Times New Roman" w:hAnsi="Times New Roman" w:cs="Times New Roman"/>
          <w:bCs/>
          <w:iCs/>
          <w:sz w:val="20"/>
          <w:szCs w:val="20"/>
        </w:rPr>
      </w:pPr>
      <w:r w:rsidRPr="00525C27">
        <w:rPr>
          <w:rFonts w:ascii="Times New Roman" w:hAnsi="Times New Roman" w:cs="Times New Roman"/>
          <w:bCs/>
          <w:iCs/>
          <w:sz w:val="20"/>
          <w:szCs w:val="20"/>
        </w:rPr>
        <w:t>ATG network deployment has been discussed in Rel-18 led by RAN4</w:t>
      </w:r>
      <w:r w:rsidR="004D5A94">
        <w:rPr>
          <w:rFonts w:ascii="Times New Roman" w:hAnsi="Times New Roman" w:cs="Times New Roman"/>
          <w:bCs/>
          <w:iCs/>
          <w:sz w:val="20"/>
          <w:szCs w:val="20"/>
        </w:rPr>
        <w:t>.</w:t>
      </w:r>
      <w:r w:rsidR="002B52AC">
        <w:rPr>
          <w:rFonts w:ascii="Times New Roman" w:hAnsi="Times New Roman" w:cs="Times New Roman"/>
          <w:bCs/>
          <w:iCs/>
          <w:sz w:val="20"/>
          <w:szCs w:val="20"/>
        </w:rPr>
        <w:t xml:space="preserve"> </w:t>
      </w:r>
      <w:r w:rsidR="00CF40D4">
        <w:rPr>
          <w:rFonts w:ascii="Times New Roman" w:hAnsi="Times New Roman" w:cs="Times New Roman"/>
          <w:bCs/>
          <w:iCs/>
          <w:sz w:val="20"/>
          <w:szCs w:val="20"/>
        </w:rPr>
        <w:t>T</w:t>
      </w:r>
      <w:r w:rsidRPr="00525C27">
        <w:rPr>
          <w:rFonts w:ascii="Times New Roman" w:hAnsi="Times New Roman" w:cs="Times New Roman"/>
          <w:bCs/>
          <w:iCs/>
          <w:sz w:val="20"/>
          <w:szCs w:val="20"/>
        </w:rPr>
        <w:t xml:space="preserve">he </w:t>
      </w:r>
      <w:r w:rsidR="009014CB">
        <w:rPr>
          <w:rFonts w:ascii="Times New Roman" w:hAnsi="Times New Roman" w:cs="Times New Roman"/>
          <w:bCs/>
          <w:iCs/>
          <w:sz w:val="20"/>
          <w:szCs w:val="20"/>
        </w:rPr>
        <w:t>UE features for Rel-18 NR ATG ha</w:t>
      </w:r>
      <w:r w:rsidR="00B565E7">
        <w:rPr>
          <w:rFonts w:ascii="Times New Roman" w:hAnsi="Times New Roman" w:cs="Times New Roman"/>
          <w:bCs/>
          <w:iCs/>
          <w:sz w:val="20"/>
          <w:szCs w:val="20"/>
        </w:rPr>
        <w:t>ve</w:t>
      </w:r>
      <w:r w:rsidR="002B52AC">
        <w:rPr>
          <w:rFonts w:ascii="Times New Roman" w:hAnsi="Times New Roman" w:cs="Times New Roman"/>
          <w:bCs/>
          <w:iCs/>
          <w:sz w:val="20"/>
          <w:szCs w:val="20"/>
        </w:rPr>
        <w:t xml:space="preserve"> </w:t>
      </w:r>
      <w:r w:rsidR="005F1169">
        <w:rPr>
          <w:rFonts w:ascii="Times New Roman" w:hAnsi="Times New Roman" w:cs="Times New Roman"/>
          <w:bCs/>
          <w:iCs/>
          <w:sz w:val="20"/>
          <w:szCs w:val="20"/>
        </w:rPr>
        <w:t xml:space="preserve">also </w:t>
      </w:r>
      <w:r w:rsidR="002B52AC">
        <w:rPr>
          <w:rFonts w:ascii="Times New Roman" w:hAnsi="Times New Roman" w:cs="Times New Roman"/>
          <w:bCs/>
          <w:iCs/>
          <w:sz w:val="20"/>
          <w:szCs w:val="20"/>
        </w:rPr>
        <w:t>already</w:t>
      </w:r>
      <w:r w:rsidR="009014CB">
        <w:rPr>
          <w:rFonts w:ascii="Times New Roman" w:hAnsi="Times New Roman" w:cs="Times New Roman"/>
          <w:bCs/>
          <w:iCs/>
          <w:sz w:val="20"/>
          <w:szCs w:val="20"/>
        </w:rPr>
        <w:t xml:space="preserve"> been discussed in RAN4</w:t>
      </w:r>
      <w:r w:rsidR="004422E1">
        <w:rPr>
          <w:rFonts w:ascii="Times New Roman" w:hAnsi="Times New Roman" w:cs="Times New Roman"/>
          <w:bCs/>
          <w:iCs/>
          <w:sz w:val="20"/>
          <w:szCs w:val="20"/>
        </w:rPr>
        <w:t>.</w:t>
      </w:r>
      <w:r w:rsidR="004D5A94">
        <w:rPr>
          <w:rFonts w:ascii="Times New Roman" w:hAnsi="Times New Roman" w:cs="Times New Roman"/>
          <w:bCs/>
          <w:iCs/>
          <w:sz w:val="20"/>
          <w:szCs w:val="20"/>
        </w:rPr>
        <w:t xml:space="preserve"> </w:t>
      </w:r>
      <w:r w:rsidR="004422E1">
        <w:rPr>
          <w:rFonts w:ascii="Times New Roman" w:hAnsi="Times New Roman" w:cs="Times New Roman"/>
          <w:bCs/>
          <w:iCs/>
          <w:sz w:val="20"/>
          <w:szCs w:val="20"/>
        </w:rPr>
        <w:t xml:space="preserve">The </w:t>
      </w:r>
      <w:r w:rsidR="002B52AC">
        <w:rPr>
          <w:rFonts w:ascii="Times New Roman" w:hAnsi="Times New Roman" w:cs="Times New Roman"/>
          <w:bCs/>
          <w:iCs/>
          <w:sz w:val="20"/>
          <w:szCs w:val="20"/>
        </w:rPr>
        <w:t xml:space="preserve">corresponding </w:t>
      </w:r>
      <w:r w:rsidR="00160301">
        <w:rPr>
          <w:rFonts w:ascii="Times New Roman" w:hAnsi="Times New Roman" w:cs="Times New Roman"/>
          <w:bCs/>
          <w:iCs/>
          <w:sz w:val="20"/>
          <w:szCs w:val="20"/>
        </w:rPr>
        <w:t>Layer-1 UE features</w:t>
      </w:r>
      <w:r w:rsidR="004D5A94">
        <w:rPr>
          <w:rFonts w:ascii="Times New Roman" w:hAnsi="Times New Roman" w:cs="Times New Roman"/>
          <w:bCs/>
          <w:iCs/>
          <w:sz w:val="20"/>
          <w:szCs w:val="20"/>
        </w:rPr>
        <w:t xml:space="preserve"> </w:t>
      </w:r>
      <w:r w:rsidR="004422E1">
        <w:rPr>
          <w:rFonts w:ascii="Times New Roman" w:hAnsi="Times New Roman" w:cs="Times New Roman"/>
          <w:bCs/>
          <w:iCs/>
          <w:sz w:val="20"/>
          <w:szCs w:val="20"/>
        </w:rPr>
        <w:t>were</w:t>
      </w:r>
      <w:r w:rsidR="004D5A94">
        <w:rPr>
          <w:rFonts w:ascii="Times New Roman" w:hAnsi="Times New Roman" w:cs="Times New Roman"/>
          <w:bCs/>
          <w:iCs/>
          <w:sz w:val="20"/>
          <w:szCs w:val="20"/>
        </w:rPr>
        <w:t xml:space="preserve"> </w:t>
      </w:r>
      <w:r w:rsidR="00F13C77">
        <w:rPr>
          <w:rFonts w:ascii="Times New Roman" w:hAnsi="Times New Roman" w:cs="Times New Roman"/>
          <w:bCs/>
          <w:iCs/>
          <w:sz w:val="20"/>
          <w:szCs w:val="20"/>
        </w:rPr>
        <w:t xml:space="preserve">agreed </w:t>
      </w:r>
      <w:r w:rsidR="005F1169">
        <w:rPr>
          <w:rFonts w:ascii="Times New Roman" w:hAnsi="Times New Roman" w:cs="Times New Roman"/>
          <w:bCs/>
          <w:iCs/>
          <w:sz w:val="20"/>
          <w:szCs w:val="20"/>
        </w:rPr>
        <w:t xml:space="preserve">to be </w:t>
      </w:r>
      <w:r w:rsidR="004422E1">
        <w:rPr>
          <w:rFonts w:ascii="Times New Roman" w:hAnsi="Times New Roman" w:cs="Times New Roman"/>
          <w:bCs/>
          <w:iCs/>
          <w:sz w:val="20"/>
          <w:szCs w:val="20"/>
        </w:rPr>
        <w:t>introduced for NR ATG deploy</w:t>
      </w:r>
      <w:r w:rsidR="004422E1" w:rsidRPr="00F072FE">
        <w:rPr>
          <w:rFonts w:ascii="Times New Roman" w:hAnsi="Times New Roman" w:cs="Times New Roman"/>
          <w:bCs/>
          <w:iCs/>
          <w:sz w:val="20"/>
          <w:szCs w:val="20"/>
        </w:rPr>
        <w:t xml:space="preserve">ment </w:t>
      </w:r>
      <w:r w:rsidR="00F13C77" w:rsidRPr="00F072FE">
        <w:rPr>
          <w:rFonts w:ascii="Times New Roman" w:hAnsi="Times New Roman" w:cs="Times New Roman"/>
          <w:bCs/>
          <w:iCs/>
          <w:sz w:val="20"/>
          <w:szCs w:val="20"/>
        </w:rPr>
        <w:t>in RAN4</w:t>
      </w:r>
      <w:r w:rsidR="00ED774C" w:rsidRPr="00F072FE">
        <w:rPr>
          <w:rFonts w:ascii="Times New Roman" w:hAnsi="Times New Roman" w:cs="Times New Roman"/>
          <w:bCs/>
          <w:iCs/>
          <w:sz w:val="20"/>
          <w:szCs w:val="20"/>
        </w:rPr>
        <w:t xml:space="preserve"> </w:t>
      </w:r>
      <w:r w:rsidR="00F83061" w:rsidRPr="00F072FE">
        <w:rPr>
          <w:rFonts w:ascii="Times New Roman" w:hAnsi="Times New Roman" w:cs="Times New Roman"/>
          <w:bCs/>
          <w:iCs/>
          <w:sz w:val="20"/>
          <w:szCs w:val="20"/>
        </w:rPr>
        <w:t>[</w:t>
      </w:r>
      <w:r w:rsidR="004D5A94" w:rsidRPr="00F072FE">
        <w:rPr>
          <w:rFonts w:ascii="Times New Roman" w:hAnsi="Times New Roman" w:cs="Times New Roman"/>
          <w:bCs/>
          <w:iCs/>
          <w:sz w:val="20"/>
          <w:szCs w:val="20"/>
        </w:rPr>
        <w:t>2</w:t>
      </w:r>
      <w:r w:rsidR="00F83061" w:rsidRPr="00F072FE">
        <w:rPr>
          <w:rFonts w:ascii="Times New Roman" w:hAnsi="Times New Roman" w:cs="Times New Roman"/>
          <w:bCs/>
          <w:iCs/>
          <w:sz w:val="20"/>
          <w:szCs w:val="20"/>
        </w:rPr>
        <w:t>]</w:t>
      </w:r>
      <w:r w:rsidR="002B52AC" w:rsidRPr="00F072FE">
        <w:rPr>
          <w:rFonts w:ascii="Times New Roman" w:hAnsi="Times New Roman" w:cs="Times New Roman"/>
          <w:bCs/>
          <w:iCs/>
          <w:sz w:val="20"/>
          <w:szCs w:val="20"/>
        </w:rPr>
        <w:t>,</w:t>
      </w:r>
      <w:r w:rsidR="002B52AC">
        <w:rPr>
          <w:rFonts w:ascii="Times New Roman" w:hAnsi="Times New Roman" w:cs="Times New Roman"/>
          <w:bCs/>
          <w:iCs/>
          <w:sz w:val="20"/>
          <w:szCs w:val="20"/>
        </w:rPr>
        <w:t xml:space="preserve"> </w:t>
      </w:r>
      <w:r w:rsidR="00ED774C">
        <w:rPr>
          <w:rFonts w:ascii="Times New Roman" w:hAnsi="Times New Roman" w:cs="Times New Roman"/>
          <w:bCs/>
          <w:iCs/>
          <w:sz w:val="20"/>
          <w:szCs w:val="20"/>
        </w:rPr>
        <w:t xml:space="preserve">as </w:t>
      </w:r>
      <w:r w:rsidR="002B52AC">
        <w:rPr>
          <w:rFonts w:ascii="Times New Roman" w:hAnsi="Times New Roman" w:cs="Times New Roman"/>
          <w:bCs/>
          <w:iCs/>
          <w:sz w:val="20"/>
          <w:szCs w:val="20"/>
        </w:rPr>
        <w:t>in Annex A</w:t>
      </w:r>
      <w:r w:rsidRPr="00525C27">
        <w:rPr>
          <w:rFonts w:ascii="Times New Roman" w:hAnsi="Times New Roman" w:cs="Times New Roman"/>
          <w:bCs/>
          <w:iCs/>
          <w:sz w:val="20"/>
          <w:szCs w:val="20"/>
        </w:rPr>
        <w:t>.</w:t>
      </w:r>
      <w:r w:rsidR="00A21FA6">
        <w:rPr>
          <w:rFonts w:ascii="Times New Roman" w:hAnsi="Times New Roman" w:cs="Times New Roman"/>
          <w:bCs/>
          <w:iCs/>
          <w:sz w:val="20"/>
          <w:szCs w:val="20"/>
        </w:rPr>
        <w:t xml:space="preserve"> </w:t>
      </w:r>
    </w:p>
    <w:p w14:paraId="3D35B718" w14:textId="529AB000" w:rsidR="00ED774C" w:rsidRPr="005F1169" w:rsidRDefault="00ED774C" w:rsidP="005F1169">
      <w:pPr>
        <w:widowControl/>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w:t>
      </w:r>
      <w:r w:rsidR="00A21FA6">
        <w:rPr>
          <w:rFonts w:ascii="Times New Roman" w:hAnsi="Times New Roman" w:cs="Times New Roman"/>
          <w:bCs/>
          <w:iCs/>
          <w:sz w:val="20"/>
          <w:szCs w:val="20"/>
        </w:rPr>
        <w:t xml:space="preserve">n addition, </w:t>
      </w:r>
      <w:r w:rsidR="00FD349E">
        <w:rPr>
          <w:rFonts w:ascii="Times New Roman" w:hAnsi="Times New Roman" w:cs="Times New Roman" w:hint="eastAsia"/>
          <w:bCs/>
          <w:iCs/>
          <w:sz w:val="20"/>
          <w:szCs w:val="20"/>
        </w:rPr>
        <w:t>R</w:t>
      </w:r>
      <w:r w:rsidR="00FD349E">
        <w:rPr>
          <w:rFonts w:ascii="Times New Roman" w:hAnsi="Times New Roman" w:cs="Times New Roman"/>
          <w:bCs/>
          <w:iCs/>
          <w:sz w:val="20"/>
          <w:szCs w:val="20"/>
        </w:rPr>
        <w:t xml:space="preserve">AN2 </w:t>
      </w:r>
      <w:r w:rsidR="00FD349E">
        <w:rPr>
          <w:rFonts w:ascii="Times New Roman" w:hAnsi="Times New Roman" w:cs="Times New Roman" w:hint="eastAsia"/>
          <w:bCs/>
          <w:iCs/>
          <w:sz w:val="20"/>
          <w:szCs w:val="20"/>
        </w:rPr>
        <w:t>h</w:t>
      </w:r>
      <w:r w:rsidR="00FD349E">
        <w:rPr>
          <w:rFonts w:ascii="Times New Roman" w:hAnsi="Times New Roman" w:cs="Times New Roman"/>
          <w:bCs/>
          <w:iCs/>
          <w:sz w:val="20"/>
          <w:szCs w:val="20"/>
        </w:rPr>
        <w:t>as also introduced the new capabilit</w:t>
      </w:r>
      <w:r w:rsidR="00A21FA6">
        <w:rPr>
          <w:rFonts w:ascii="Times New Roman" w:hAnsi="Times New Roman" w:cs="Times New Roman"/>
          <w:bCs/>
          <w:iCs/>
          <w:sz w:val="20"/>
          <w:szCs w:val="20"/>
        </w:rPr>
        <w:t>y for AirToGround Network in Rel</w:t>
      </w:r>
      <w:r w:rsidR="00A21FA6" w:rsidRPr="00F072FE">
        <w:rPr>
          <w:rFonts w:ascii="Times New Roman" w:hAnsi="Times New Roman" w:cs="Times New Roman"/>
          <w:bCs/>
          <w:iCs/>
          <w:sz w:val="20"/>
          <w:szCs w:val="20"/>
        </w:rPr>
        <w:t>-18 [</w:t>
      </w:r>
      <w:r w:rsidR="00E15835" w:rsidRPr="00F072FE">
        <w:rPr>
          <w:rFonts w:ascii="Times New Roman" w:hAnsi="Times New Roman" w:cs="Times New Roman"/>
          <w:bCs/>
          <w:iCs/>
          <w:sz w:val="20"/>
          <w:szCs w:val="20"/>
        </w:rPr>
        <w:t>3</w:t>
      </w:r>
      <w:r w:rsidR="00A21FA6" w:rsidRPr="00F072FE">
        <w:rPr>
          <w:rFonts w:ascii="Times New Roman" w:hAnsi="Times New Roman" w:cs="Times New Roman"/>
          <w:bCs/>
          <w:iCs/>
          <w:sz w:val="20"/>
          <w:szCs w:val="20"/>
        </w:rPr>
        <w:t>].</w:t>
      </w:r>
      <w:r w:rsidR="00A21FA6">
        <w:rPr>
          <w:rFonts w:ascii="Times New Roman" w:hAnsi="Times New Roman" w:cs="Times New Roman"/>
          <w:bCs/>
          <w:iCs/>
          <w:sz w:val="20"/>
          <w:szCs w:val="20"/>
        </w:rPr>
        <w:t xml:space="preserve"> </w:t>
      </w:r>
    </w:p>
    <w:tbl>
      <w:tblPr>
        <w:tblStyle w:val="aff1"/>
        <w:tblW w:w="0" w:type="auto"/>
        <w:tblLook w:val="04A0" w:firstRow="1" w:lastRow="0" w:firstColumn="1" w:lastColumn="0" w:noHBand="0" w:noVBand="1"/>
      </w:tblPr>
      <w:tblGrid>
        <w:gridCol w:w="9962"/>
      </w:tblGrid>
      <w:tr w:rsidR="00FD349E" w14:paraId="7D0E2300" w14:textId="77777777" w:rsidTr="00FD349E">
        <w:tc>
          <w:tcPr>
            <w:tcW w:w="9962" w:type="dxa"/>
          </w:tcPr>
          <w:p w14:paraId="0B9EC58E" w14:textId="77777777" w:rsidR="00FD349E" w:rsidRPr="0095250E" w:rsidRDefault="00FD349E" w:rsidP="00A21FA6">
            <w:pPr>
              <w:pStyle w:val="PL"/>
              <w:adjustRightInd w:val="0"/>
              <w:snapToGrid w:val="0"/>
              <w:rPr>
                <w:color w:val="808080"/>
              </w:rPr>
            </w:pPr>
            <w:r w:rsidRPr="0095250E">
              <w:rPr>
                <w:color w:val="808080"/>
              </w:rPr>
              <w:t>-- Regular non-critical Rel-18 extensions:</w:t>
            </w:r>
          </w:p>
          <w:p w14:paraId="650D93DA" w14:textId="77777777" w:rsidR="00FD349E" w:rsidRPr="0095250E" w:rsidRDefault="00FD349E" w:rsidP="00A21FA6">
            <w:pPr>
              <w:pStyle w:val="PL"/>
              <w:adjustRightInd w:val="0"/>
              <w:snapToGrid w:val="0"/>
            </w:pPr>
            <w:r w:rsidRPr="0095250E">
              <w:t xml:space="preserve">UE-NR-Capability-v1800 ::=               </w:t>
            </w:r>
            <w:r w:rsidRPr="0095250E">
              <w:rPr>
                <w:color w:val="993366"/>
              </w:rPr>
              <w:t>SEQUENCE</w:t>
            </w:r>
            <w:r w:rsidRPr="0095250E">
              <w:t xml:space="preserve"> {</w:t>
            </w:r>
          </w:p>
          <w:p w14:paraId="54EE0609" w14:textId="77777777" w:rsidR="00FD349E" w:rsidRPr="0095250E" w:rsidRDefault="00FD349E" w:rsidP="00A21FA6">
            <w:pPr>
              <w:pStyle w:val="PL"/>
              <w:adjustRightInd w:val="0"/>
              <w:snapToGrid w:val="0"/>
            </w:pPr>
            <w:r w:rsidRPr="0095250E">
              <w:t xml:space="preserve">    </w:t>
            </w:r>
            <w:r w:rsidRPr="001E3B1D">
              <w:rPr>
                <w:highlight w:val="yellow"/>
              </w:rPr>
              <w:t>airToGroundNetwork-r18</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4A6A5A11" w14:textId="77777777" w:rsidR="00FD349E" w:rsidRPr="0095250E" w:rsidRDefault="00FD349E" w:rsidP="00A21FA6">
            <w:pPr>
              <w:pStyle w:val="PL"/>
              <w:adjustRightInd w:val="0"/>
              <w:snapToGrid w:val="0"/>
            </w:pPr>
            <w:r w:rsidRPr="0095250E">
              <w:t xml:space="preserve">    eRedCapParameters-r18                    ERedCapParameters-r18                                        </w:t>
            </w:r>
            <w:r w:rsidRPr="0095250E">
              <w:rPr>
                <w:color w:val="993366"/>
              </w:rPr>
              <w:t>OPTIONAL</w:t>
            </w:r>
            <w:r w:rsidRPr="0095250E">
              <w:t>,</w:t>
            </w:r>
          </w:p>
          <w:p w14:paraId="6D0E0CFF" w14:textId="77777777" w:rsidR="00FD349E" w:rsidRPr="0095250E" w:rsidRDefault="00FD349E" w:rsidP="00A21FA6">
            <w:pPr>
              <w:pStyle w:val="PL"/>
              <w:adjustRightInd w:val="0"/>
              <w:snapToGrid w:val="0"/>
            </w:pPr>
            <w:r w:rsidRPr="0095250E">
              <w:t xml:space="preserve">    ncr-Parameters-r18                       NCR-Parameters-r18                                           </w:t>
            </w:r>
            <w:r w:rsidRPr="0095250E">
              <w:rPr>
                <w:color w:val="993366"/>
              </w:rPr>
              <w:t>OPTIONAL</w:t>
            </w:r>
            <w:r w:rsidRPr="0095250E">
              <w:t>,</w:t>
            </w:r>
          </w:p>
          <w:p w14:paraId="4F159623" w14:textId="77777777" w:rsidR="00FD349E" w:rsidRPr="0095250E" w:rsidRDefault="00FD349E" w:rsidP="00A21FA6">
            <w:pPr>
              <w:pStyle w:val="PL"/>
              <w:adjustRightInd w:val="0"/>
              <w:snapToGrid w:val="0"/>
            </w:pPr>
            <w:r w:rsidRPr="0095250E">
              <w:t xml:space="preserve">    softSatelliteSwitchResyncNTN-r18         </w:t>
            </w:r>
            <w:r w:rsidRPr="0095250E">
              <w:rPr>
                <w:color w:val="993366"/>
              </w:rPr>
              <w:t>ENUMERATED</w:t>
            </w:r>
            <w:r w:rsidRPr="0095250E">
              <w:t xml:space="preserve"> {supported}                                       </w:t>
            </w:r>
            <w:r w:rsidRPr="0095250E">
              <w:rPr>
                <w:color w:val="993366"/>
              </w:rPr>
              <w:t>OPTIONAL</w:t>
            </w:r>
            <w:r w:rsidRPr="0095250E">
              <w:t>,</w:t>
            </w:r>
          </w:p>
          <w:p w14:paraId="43AA7317" w14:textId="6A11F560" w:rsidR="00FD349E" w:rsidRPr="00A21FA6" w:rsidRDefault="00FD349E" w:rsidP="00A21FA6">
            <w:pPr>
              <w:pStyle w:val="PL"/>
              <w:adjustRightInd w:val="0"/>
              <w:snapToGrid w:val="0"/>
            </w:pPr>
            <w:r w:rsidRPr="0095250E">
              <w:t xml:space="preserve">    hardSatelliteSwitchResyncNTN-r18         </w:t>
            </w:r>
            <w:r w:rsidRPr="0095250E">
              <w:rPr>
                <w:color w:val="993366"/>
              </w:rPr>
              <w:t>ENUMERATED</w:t>
            </w:r>
            <w:r w:rsidRPr="0095250E">
              <w:t xml:space="preserve"> {supported}                                       </w:t>
            </w:r>
            <w:r w:rsidRPr="0095250E">
              <w:rPr>
                <w:color w:val="993366"/>
              </w:rPr>
              <w:t>OPTIONAL</w:t>
            </w:r>
            <w:r w:rsidRPr="0095250E">
              <w:t>,</w:t>
            </w:r>
          </w:p>
        </w:tc>
      </w:tr>
    </w:tbl>
    <w:p w14:paraId="7DA9BFAF" w14:textId="548A3D12" w:rsidR="0076289F" w:rsidRDefault="0076289F" w:rsidP="005F1169">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Based on the agreements from RAN4 and the introduced UE capability for ATG, the new Layer-1 ATG UE features achieved in RAN4 can be introduced into Rel-18 RAN1 UE feature list. </w:t>
      </w:r>
    </w:p>
    <w:p w14:paraId="45AC2CC0" w14:textId="3984805B" w:rsidR="0076289F" w:rsidRPr="005F1169" w:rsidRDefault="001A250E" w:rsidP="005F1169">
      <w:pPr>
        <w:adjustRightInd w:val="0"/>
        <w:snapToGrid w:val="0"/>
        <w:spacing w:beforeLines="50" w:before="120" w:afterLines="50" w:after="120"/>
        <w:rPr>
          <w:rFonts w:ascii="Times New Roman" w:hAnsi="Times New Roman" w:cs="Times New Roman"/>
          <w:b/>
          <w:iCs/>
          <w:sz w:val="20"/>
          <w:szCs w:val="20"/>
        </w:rPr>
      </w:pPr>
      <w:r w:rsidRPr="003B14BD">
        <w:rPr>
          <w:rFonts w:ascii="Times New Roman" w:hAnsi="Times New Roman" w:cs="Times New Roman"/>
          <w:b/>
          <w:iCs/>
          <w:sz w:val="20"/>
          <w:szCs w:val="20"/>
        </w:rPr>
        <w:t>Proposal 1</w:t>
      </w:r>
      <w:r w:rsidR="002B52AC">
        <w:rPr>
          <w:rFonts w:ascii="Times New Roman" w:hAnsi="Times New Roman" w:cs="Times New Roman"/>
          <w:b/>
          <w:iCs/>
          <w:sz w:val="20"/>
          <w:szCs w:val="20"/>
        </w:rPr>
        <w:t>:</w:t>
      </w:r>
      <w:r w:rsidR="005F1169">
        <w:rPr>
          <w:rFonts w:ascii="Times New Roman" w:hAnsi="Times New Roman" w:cs="Times New Roman"/>
          <w:b/>
          <w:iCs/>
          <w:sz w:val="20"/>
          <w:szCs w:val="20"/>
        </w:rPr>
        <w:t xml:space="preserve"> </w:t>
      </w:r>
      <w:r w:rsidRPr="003B14BD">
        <w:rPr>
          <w:rFonts w:ascii="Times New Roman" w:hAnsi="Times New Roman" w:cs="Times New Roman"/>
          <w:b/>
          <w:iCs/>
          <w:sz w:val="20"/>
          <w:szCs w:val="20"/>
        </w:rPr>
        <w:t xml:space="preserve">From RAN1’s perspective, </w:t>
      </w:r>
      <w:r w:rsidR="009014CB">
        <w:rPr>
          <w:rFonts w:ascii="Times New Roman" w:hAnsi="Times New Roman" w:cs="Times New Roman"/>
          <w:b/>
          <w:iCs/>
          <w:sz w:val="20"/>
          <w:szCs w:val="20"/>
        </w:rPr>
        <w:t xml:space="preserve">the </w:t>
      </w:r>
      <w:r w:rsidR="00EF5C66">
        <w:rPr>
          <w:rFonts w:ascii="Times New Roman" w:hAnsi="Times New Roman" w:cs="Times New Roman"/>
          <w:b/>
          <w:iCs/>
          <w:sz w:val="20"/>
          <w:szCs w:val="20"/>
        </w:rPr>
        <w:t xml:space="preserve">new </w:t>
      </w:r>
      <w:r w:rsidR="009014CB">
        <w:rPr>
          <w:rFonts w:ascii="Times New Roman" w:hAnsi="Times New Roman" w:cs="Times New Roman"/>
          <w:b/>
          <w:iCs/>
          <w:sz w:val="20"/>
          <w:szCs w:val="20"/>
        </w:rPr>
        <w:t xml:space="preserve">Layer-1 ATG UE features achieved in RAN4 </w:t>
      </w:r>
      <w:r w:rsidR="003C6304" w:rsidRPr="003B14BD">
        <w:rPr>
          <w:rFonts w:ascii="Times New Roman" w:hAnsi="Times New Roman" w:cs="Times New Roman"/>
          <w:b/>
          <w:iCs/>
          <w:sz w:val="20"/>
          <w:szCs w:val="20"/>
        </w:rPr>
        <w:t xml:space="preserve">can be </w:t>
      </w:r>
      <w:r w:rsidR="009014CB">
        <w:rPr>
          <w:rFonts w:ascii="Times New Roman" w:hAnsi="Times New Roman" w:cs="Times New Roman"/>
          <w:b/>
          <w:iCs/>
          <w:sz w:val="20"/>
          <w:szCs w:val="20"/>
        </w:rPr>
        <w:t>introduce</w:t>
      </w:r>
      <w:r w:rsidR="003C6304" w:rsidRPr="003B14BD">
        <w:rPr>
          <w:rFonts w:ascii="Times New Roman" w:hAnsi="Times New Roman" w:cs="Times New Roman"/>
          <w:b/>
          <w:iCs/>
          <w:sz w:val="20"/>
          <w:szCs w:val="20"/>
        </w:rPr>
        <w:t xml:space="preserve">d </w:t>
      </w:r>
      <w:r w:rsidR="009014CB">
        <w:rPr>
          <w:rFonts w:ascii="Times New Roman" w:hAnsi="Times New Roman" w:cs="Times New Roman"/>
          <w:b/>
          <w:iCs/>
          <w:sz w:val="20"/>
          <w:szCs w:val="20"/>
        </w:rPr>
        <w:t xml:space="preserve">into Rel-18 RAN1 UE feature list </w:t>
      </w:r>
      <w:r w:rsidR="003C6304" w:rsidRPr="003B14BD">
        <w:rPr>
          <w:rFonts w:ascii="Times New Roman" w:hAnsi="Times New Roman" w:cs="Times New Roman"/>
          <w:b/>
          <w:iCs/>
          <w:sz w:val="20"/>
          <w:szCs w:val="20"/>
        </w:rPr>
        <w:t>for Rel-18 NR ATG</w:t>
      </w:r>
      <w:r w:rsidRPr="003B14BD">
        <w:rPr>
          <w:rFonts w:ascii="Times New Roman" w:hAnsi="Times New Roman" w:cs="Times New Roman"/>
          <w:b/>
          <w:iCs/>
          <w:sz w:val="20"/>
          <w:szCs w:val="20"/>
        </w:rPr>
        <w:t>.</w:t>
      </w:r>
    </w:p>
    <w:p w14:paraId="75121D47" w14:textId="264DE0FB" w:rsidR="00E15835" w:rsidRPr="00FD1E89" w:rsidRDefault="00531A28" w:rsidP="005F1169">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Furthermore,</w:t>
      </w:r>
      <w:r w:rsidR="003C6304" w:rsidRPr="003B14BD">
        <w:rPr>
          <w:rFonts w:ascii="Times New Roman" w:hAnsi="Times New Roman" w:cs="Times New Roman"/>
          <w:bCs/>
          <w:iCs/>
          <w:sz w:val="20"/>
          <w:szCs w:val="20"/>
        </w:rPr>
        <w:t xml:space="preserve"> </w:t>
      </w:r>
      <w:r w:rsidR="00D401CA">
        <w:rPr>
          <w:rFonts w:ascii="Times New Roman" w:hAnsi="Times New Roman" w:cs="Times New Roman"/>
          <w:bCs/>
          <w:iCs/>
          <w:sz w:val="20"/>
          <w:szCs w:val="20"/>
        </w:rPr>
        <w:t xml:space="preserve">4 new </w:t>
      </w:r>
      <w:r w:rsidR="00F94BFD">
        <w:rPr>
          <w:rFonts w:ascii="Times New Roman" w:hAnsi="Times New Roman" w:cs="Times New Roman"/>
          <w:bCs/>
          <w:iCs/>
          <w:sz w:val="20"/>
          <w:szCs w:val="20"/>
        </w:rPr>
        <w:t xml:space="preserve">UE features are proposed to </w:t>
      </w:r>
      <w:r w:rsidR="00D401CA">
        <w:rPr>
          <w:rFonts w:ascii="Times New Roman" w:hAnsi="Times New Roman" w:cs="Times New Roman"/>
          <w:bCs/>
          <w:iCs/>
          <w:sz w:val="20"/>
          <w:szCs w:val="20"/>
        </w:rPr>
        <w:t>be added</w:t>
      </w:r>
      <w:r w:rsidR="00E3217D">
        <w:rPr>
          <w:rFonts w:ascii="Times New Roman" w:hAnsi="Times New Roman" w:cs="Times New Roman"/>
          <w:bCs/>
          <w:iCs/>
          <w:sz w:val="20"/>
          <w:szCs w:val="20"/>
        </w:rPr>
        <w:t xml:space="preserve"> according to RAN4’s LS</w:t>
      </w:r>
      <w:r w:rsidR="00D401CA">
        <w:rPr>
          <w:rFonts w:ascii="Times New Roman" w:hAnsi="Times New Roman" w:cs="Times New Roman"/>
          <w:bCs/>
          <w:iCs/>
          <w:sz w:val="20"/>
          <w:szCs w:val="20"/>
        </w:rPr>
        <w:t>, including ‘</w:t>
      </w:r>
      <w:r w:rsidR="00D401CA" w:rsidRPr="009A4C0B">
        <w:rPr>
          <w:rFonts w:ascii="Times New Roman" w:hAnsi="Times New Roman" w:cs="Times New Roman"/>
          <w:bCs/>
          <w:iCs/>
          <w:sz w:val="20"/>
          <w:szCs w:val="20"/>
        </w:rPr>
        <w:t>Uplink Time and Frequency pre-compensation and timing relationship enhancements</w:t>
      </w:r>
      <w:r w:rsidR="00D401CA">
        <w:rPr>
          <w:rFonts w:ascii="Times New Roman" w:hAnsi="Times New Roman" w:cs="Times New Roman"/>
          <w:bCs/>
          <w:iCs/>
          <w:sz w:val="20"/>
          <w:szCs w:val="20"/>
        </w:rPr>
        <w:t>’, ‘</w:t>
      </w:r>
      <w:r w:rsidR="00D401CA" w:rsidRPr="009A4C0B">
        <w:rPr>
          <w:rFonts w:ascii="Times New Roman" w:hAnsi="Times New Roman" w:cs="Times New Roman"/>
          <w:bCs/>
          <w:iCs/>
          <w:sz w:val="20"/>
          <w:szCs w:val="20"/>
        </w:rPr>
        <w:t>UE reporting of TA information</w:t>
      </w:r>
      <w:r w:rsidR="00D401CA">
        <w:rPr>
          <w:rFonts w:ascii="Times New Roman" w:hAnsi="Times New Roman" w:cs="Times New Roman"/>
          <w:bCs/>
          <w:iCs/>
          <w:sz w:val="20"/>
          <w:szCs w:val="20"/>
        </w:rPr>
        <w:t>’, ‘</w:t>
      </w:r>
      <w:r w:rsidR="00D401CA" w:rsidRPr="009A4C0B">
        <w:rPr>
          <w:rFonts w:ascii="Times New Roman" w:hAnsi="Times New Roman" w:cs="Times New Roman"/>
          <w:bCs/>
          <w:iCs/>
          <w:sz w:val="20"/>
          <w:szCs w:val="20"/>
        </w:rPr>
        <w:t>Increasing the number of HARQ processes</w:t>
      </w:r>
      <w:r w:rsidR="00D401CA">
        <w:rPr>
          <w:rFonts w:ascii="Times New Roman" w:hAnsi="Times New Roman" w:cs="Times New Roman"/>
          <w:bCs/>
          <w:iCs/>
          <w:sz w:val="20"/>
          <w:szCs w:val="20"/>
        </w:rPr>
        <w:t>’ and ‘</w:t>
      </w:r>
      <w:r w:rsidR="00D401CA" w:rsidRPr="009A4C0B">
        <w:rPr>
          <w:rFonts w:ascii="Times New Roman" w:hAnsi="Times New Roman" w:cs="Times New Roman"/>
          <w:bCs/>
          <w:iCs/>
          <w:sz w:val="20"/>
          <w:szCs w:val="20"/>
        </w:rPr>
        <w:t>K1 range extension</w:t>
      </w:r>
      <w:r w:rsidR="00D401CA">
        <w:rPr>
          <w:rFonts w:ascii="Times New Roman" w:hAnsi="Times New Roman" w:cs="Times New Roman"/>
          <w:bCs/>
          <w:iCs/>
          <w:sz w:val="20"/>
          <w:szCs w:val="20"/>
        </w:rPr>
        <w:t>’</w:t>
      </w:r>
      <w:r w:rsidR="002B52AC">
        <w:rPr>
          <w:rFonts w:ascii="Times New Roman" w:hAnsi="Times New Roman" w:cs="Times New Roman"/>
          <w:bCs/>
          <w:iCs/>
          <w:sz w:val="20"/>
          <w:szCs w:val="20"/>
        </w:rPr>
        <w:t xml:space="preserve">. </w:t>
      </w:r>
      <w:r w:rsidR="00E15835">
        <w:rPr>
          <w:rFonts w:ascii="Times New Roman" w:hAnsi="Times New Roman" w:cs="Times New Roman"/>
          <w:bCs/>
          <w:iCs/>
          <w:sz w:val="20"/>
          <w:szCs w:val="20"/>
        </w:rPr>
        <w:t>Th</w:t>
      </w:r>
      <w:r w:rsidR="005F1169">
        <w:rPr>
          <w:rFonts w:ascii="Times New Roman" w:hAnsi="Times New Roman" w:cs="Times New Roman"/>
          <w:bCs/>
          <w:iCs/>
          <w:sz w:val="20"/>
          <w:szCs w:val="20"/>
        </w:rPr>
        <w:t>e</w:t>
      </w:r>
      <w:r w:rsidR="00E15835">
        <w:rPr>
          <w:rFonts w:ascii="Times New Roman" w:hAnsi="Times New Roman" w:cs="Times New Roman"/>
          <w:bCs/>
          <w:iCs/>
          <w:sz w:val="20"/>
          <w:szCs w:val="20"/>
        </w:rPr>
        <w:t xml:space="preserve">se new UE features can be captured in TR 38.822. Based on the information provided </w:t>
      </w:r>
      <w:r w:rsidR="003832A5">
        <w:rPr>
          <w:rFonts w:ascii="Times New Roman" w:hAnsi="Times New Roman" w:cs="Times New Roman"/>
          <w:bCs/>
          <w:iCs/>
          <w:sz w:val="20"/>
          <w:szCs w:val="20"/>
        </w:rPr>
        <w:t>by</w:t>
      </w:r>
      <w:r w:rsidR="00E15835">
        <w:rPr>
          <w:rFonts w:ascii="Times New Roman" w:hAnsi="Times New Roman" w:cs="Times New Roman"/>
          <w:bCs/>
          <w:iCs/>
          <w:sz w:val="20"/>
          <w:szCs w:val="20"/>
        </w:rPr>
        <w:t xml:space="preserve"> RAN4 and the current </w:t>
      </w:r>
      <w:r w:rsidR="003832A5">
        <w:rPr>
          <w:rFonts w:ascii="Times New Roman" w:hAnsi="Times New Roman" w:cs="Times New Roman"/>
          <w:bCs/>
          <w:iCs/>
          <w:sz w:val="20"/>
          <w:szCs w:val="20"/>
        </w:rPr>
        <w:t>TS 38.331[3], the proposed Layer-1 feature</w:t>
      </w:r>
      <w:r w:rsidR="00E3217D">
        <w:rPr>
          <w:rFonts w:ascii="Times New Roman" w:hAnsi="Times New Roman" w:cs="Times New Roman"/>
          <w:bCs/>
          <w:iCs/>
          <w:sz w:val="20"/>
          <w:szCs w:val="20"/>
        </w:rPr>
        <w:t xml:space="preserve">s </w:t>
      </w:r>
      <w:r w:rsidR="003832A5">
        <w:rPr>
          <w:rFonts w:ascii="Times New Roman" w:hAnsi="Times New Roman" w:cs="Times New Roman"/>
          <w:bCs/>
          <w:iCs/>
          <w:sz w:val="20"/>
          <w:szCs w:val="20"/>
        </w:rPr>
        <w:t>for NR</w:t>
      </w:r>
      <w:r w:rsidR="003832A5">
        <w:rPr>
          <w:rFonts w:ascii="Times New Roman" w:hAnsi="Times New Roman" w:cs="Times New Roman" w:hint="eastAsia"/>
          <w:bCs/>
          <w:iCs/>
          <w:sz w:val="20"/>
          <w:szCs w:val="20"/>
        </w:rPr>
        <w:t>_</w:t>
      </w:r>
      <w:r w:rsidR="003832A5">
        <w:rPr>
          <w:rFonts w:ascii="Times New Roman" w:hAnsi="Times New Roman" w:cs="Times New Roman"/>
          <w:bCs/>
          <w:iCs/>
          <w:sz w:val="20"/>
          <w:szCs w:val="20"/>
        </w:rPr>
        <w:t>ATG are listed in Table 1. The field name</w:t>
      </w:r>
      <w:r w:rsidR="004422E1">
        <w:rPr>
          <w:rFonts w:ascii="Times New Roman" w:hAnsi="Times New Roman" w:cs="Times New Roman"/>
          <w:bCs/>
          <w:iCs/>
          <w:sz w:val="20"/>
          <w:szCs w:val="20"/>
        </w:rPr>
        <w:t>s</w:t>
      </w:r>
      <w:r w:rsidR="00E3217D">
        <w:rPr>
          <w:rFonts w:ascii="Times New Roman" w:hAnsi="Times New Roman" w:cs="Times New Roman"/>
          <w:bCs/>
          <w:iCs/>
          <w:sz w:val="20"/>
          <w:szCs w:val="20"/>
        </w:rPr>
        <w:t xml:space="preserve"> </w:t>
      </w:r>
      <w:r w:rsidR="003832A5">
        <w:rPr>
          <w:rFonts w:ascii="Times New Roman" w:hAnsi="Times New Roman" w:cs="Times New Roman"/>
          <w:bCs/>
          <w:iCs/>
          <w:sz w:val="20"/>
          <w:szCs w:val="20"/>
        </w:rPr>
        <w:t>in TS 38.331 are added</w:t>
      </w:r>
      <w:r w:rsidR="00E3217D">
        <w:rPr>
          <w:rFonts w:ascii="Times New Roman" w:hAnsi="Times New Roman" w:cs="Times New Roman"/>
          <w:bCs/>
          <w:iCs/>
          <w:sz w:val="20"/>
          <w:szCs w:val="20"/>
        </w:rPr>
        <w:t xml:space="preserve"> (in red)</w:t>
      </w:r>
      <w:r w:rsidR="003832A5">
        <w:rPr>
          <w:rFonts w:ascii="Times New Roman" w:hAnsi="Times New Roman" w:cs="Times New Roman"/>
          <w:bCs/>
          <w:iCs/>
          <w:sz w:val="20"/>
          <w:szCs w:val="20"/>
        </w:rPr>
        <w:t xml:space="preserve"> accordingly. </w:t>
      </w:r>
    </w:p>
    <w:p w14:paraId="44D562BF" w14:textId="2661CE9A" w:rsidR="002B52AC" w:rsidRDefault="002B52AC" w:rsidP="005F1169">
      <w:pPr>
        <w:adjustRightInd w:val="0"/>
        <w:snapToGrid w:val="0"/>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Proposal 2:</w:t>
      </w:r>
      <w:r w:rsidR="005F1169">
        <w:rPr>
          <w:rFonts w:ascii="Times New Roman" w:hAnsi="Times New Roman" w:cs="Times New Roman"/>
          <w:b/>
          <w:iCs/>
          <w:sz w:val="20"/>
          <w:szCs w:val="20"/>
        </w:rPr>
        <w:t xml:space="preserve"> </w:t>
      </w:r>
      <w:r w:rsidR="003832A5">
        <w:rPr>
          <w:rFonts w:ascii="Times New Roman" w:hAnsi="Times New Roman" w:cs="Times New Roman"/>
          <w:b/>
          <w:iCs/>
          <w:sz w:val="20"/>
          <w:szCs w:val="20"/>
        </w:rPr>
        <w:t>I</w:t>
      </w:r>
      <w:r>
        <w:rPr>
          <w:rFonts w:ascii="Times New Roman" w:hAnsi="Times New Roman" w:cs="Times New Roman"/>
          <w:b/>
          <w:iCs/>
          <w:sz w:val="20"/>
          <w:szCs w:val="20"/>
        </w:rPr>
        <w:t xml:space="preserve">ntroduce new feature groups of </w:t>
      </w:r>
      <w:r w:rsidRPr="00D401CA">
        <w:rPr>
          <w:rFonts w:ascii="Times New Roman" w:hAnsi="Times New Roman" w:cs="Times New Roman" w:hint="eastAsia"/>
          <w:b/>
          <w:iCs/>
          <w:sz w:val="20"/>
          <w:szCs w:val="20"/>
        </w:rPr>
        <w:t>‘</w:t>
      </w:r>
      <w:r w:rsidRPr="00D401CA">
        <w:rPr>
          <w:rFonts w:ascii="Times New Roman" w:hAnsi="Times New Roman" w:cs="Times New Roman"/>
          <w:b/>
          <w:iCs/>
          <w:sz w:val="20"/>
          <w:szCs w:val="20"/>
        </w:rPr>
        <w:t>Uplink Time and Frequency pre-compensation and timing relationship enhancements’, ‘UE reporting of TA information’, ‘Increasing the number of HARQ processes’ and ‘K1 range extension’</w:t>
      </w:r>
      <w:r w:rsidR="003832A5">
        <w:rPr>
          <w:rFonts w:ascii="Times New Roman" w:hAnsi="Times New Roman" w:cs="Times New Roman"/>
          <w:b/>
          <w:iCs/>
          <w:sz w:val="20"/>
          <w:szCs w:val="20"/>
        </w:rPr>
        <w:t xml:space="preserve"> </w:t>
      </w:r>
      <w:r>
        <w:rPr>
          <w:rFonts w:ascii="Times New Roman" w:hAnsi="Times New Roman" w:cs="Times New Roman"/>
          <w:b/>
          <w:iCs/>
          <w:sz w:val="20"/>
          <w:szCs w:val="20"/>
        </w:rPr>
        <w:t>for ATG scenarios</w:t>
      </w:r>
      <w:r w:rsidR="003832A5">
        <w:rPr>
          <w:rFonts w:ascii="Times New Roman" w:hAnsi="Times New Roman" w:cs="Times New Roman"/>
          <w:b/>
          <w:iCs/>
          <w:sz w:val="20"/>
          <w:szCs w:val="20"/>
        </w:rPr>
        <w:t>. The details of ATG UE feature</w:t>
      </w:r>
      <w:r w:rsidR="00FA7DCD">
        <w:rPr>
          <w:rFonts w:ascii="Times New Roman" w:hAnsi="Times New Roman" w:cs="Times New Roman"/>
          <w:b/>
          <w:iCs/>
          <w:sz w:val="20"/>
          <w:szCs w:val="20"/>
        </w:rPr>
        <w:t xml:space="preserve"> listed in Table 1 are proposed to be captured. </w:t>
      </w:r>
    </w:p>
    <w:p w14:paraId="6E84DEF8" w14:textId="74EE871D" w:rsidR="00FD1E89" w:rsidRPr="00993077" w:rsidRDefault="00FD1E89" w:rsidP="00FD1E89">
      <w:pPr>
        <w:adjustRightInd w:val="0"/>
        <w:snapToGrid w:val="0"/>
        <w:rPr>
          <w:rFonts w:ascii="Times New Roman" w:hAnsi="Times New Roman" w:cs="Times New Roman"/>
          <w:b/>
          <w:iCs/>
          <w:sz w:val="20"/>
          <w:szCs w:val="20"/>
        </w:rPr>
        <w:sectPr w:rsidR="00FD1E89" w:rsidRPr="00993077" w:rsidSect="00D66A13">
          <w:footerReference w:type="default" r:id="rId9"/>
          <w:pgSz w:w="12240" w:h="15840" w:code="1"/>
          <w:pgMar w:top="1417" w:right="1134" w:bottom="1134" w:left="1134" w:header="720" w:footer="720" w:gutter="0"/>
          <w:cols w:space="720"/>
          <w:docGrid w:linePitch="326"/>
        </w:sectPr>
      </w:pPr>
    </w:p>
    <w:p w14:paraId="77213269" w14:textId="30C7E9A4" w:rsidR="00D401CA" w:rsidRPr="00A70141" w:rsidRDefault="00A70141" w:rsidP="00A70141">
      <w:pPr>
        <w:spacing w:beforeLines="50" w:before="120" w:afterLines="50" w:after="120"/>
        <w:jc w:val="center"/>
        <w:rPr>
          <w:rFonts w:ascii="Times New Roman" w:hAnsi="Times New Roman" w:cs="Times New Roman"/>
          <w:b/>
          <w:iCs/>
          <w:sz w:val="20"/>
          <w:szCs w:val="20"/>
        </w:rPr>
      </w:pPr>
      <w:r w:rsidRPr="00A70141">
        <w:rPr>
          <w:rFonts w:ascii="Times New Roman" w:hAnsi="Times New Roman" w:cs="Times New Roman"/>
          <w:b/>
          <w:iCs/>
          <w:sz w:val="20"/>
          <w:szCs w:val="20"/>
        </w:rPr>
        <w:lastRenderedPageBreak/>
        <w:t xml:space="preserve">Table 1: </w:t>
      </w:r>
      <w:r w:rsidRPr="00A70141">
        <w:rPr>
          <w:rFonts w:ascii="Times New Roman" w:hAnsi="Times New Roman" w:cs="Times New Roman" w:hint="eastAsia"/>
          <w:b/>
          <w:iCs/>
          <w:sz w:val="20"/>
          <w:szCs w:val="20"/>
        </w:rPr>
        <w:t>L</w:t>
      </w:r>
      <w:r w:rsidRPr="00A70141">
        <w:rPr>
          <w:rFonts w:ascii="Times New Roman" w:hAnsi="Times New Roman" w:cs="Times New Roman"/>
          <w:b/>
          <w:iCs/>
          <w:sz w:val="20"/>
          <w:szCs w:val="20"/>
        </w:rPr>
        <w:t>ayer-1 feature list for NR_ATG</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09"/>
        <w:gridCol w:w="1696"/>
        <w:gridCol w:w="2962"/>
        <w:gridCol w:w="1417"/>
        <w:gridCol w:w="2605"/>
        <w:gridCol w:w="1838"/>
        <w:gridCol w:w="1697"/>
        <w:gridCol w:w="1557"/>
        <w:gridCol w:w="1267"/>
        <w:gridCol w:w="2823"/>
      </w:tblGrid>
      <w:tr w:rsidR="00A943B6" w:rsidRPr="00A70141" w14:paraId="3F2F0755" w14:textId="77777777" w:rsidTr="00A70141">
        <w:tc>
          <w:tcPr>
            <w:tcW w:w="1129" w:type="dxa"/>
          </w:tcPr>
          <w:p w14:paraId="6FD1CD89" w14:textId="77777777" w:rsidR="00A70141" w:rsidRPr="00A70141" w:rsidRDefault="00A70141" w:rsidP="003D52A2">
            <w:pPr>
              <w:pStyle w:val="TAH"/>
              <w:spacing w:before="120" w:after="120"/>
              <w:rPr>
                <w:rFonts w:ascii="Times New Roman" w:hAnsi="Times New Roman"/>
                <w:sz w:val="20"/>
              </w:rPr>
            </w:pPr>
            <w:r w:rsidRPr="00A70141">
              <w:rPr>
                <w:rFonts w:ascii="Times New Roman" w:hAnsi="Times New Roman"/>
                <w:sz w:val="20"/>
              </w:rPr>
              <w:t>Features</w:t>
            </w:r>
          </w:p>
        </w:tc>
        <w:tc>
          <w:tcPr>
            <w:tcW w:w="709" w:type="dxa"/>
          </w:tcPr>
          <w:p w14:paraId="5EC705FE" w14:textId="77777777" w:rsidR="00A70141" w:rsidRPr="00A70141" w:rsidRDefault="00A70141" w:rsidP="003D52A2">
            <w:pPr>
              <w:pStyle w:val="TAH"/>
              <w:spacing w:before="120" w:after="120"/>
              <w:rPr>
                <w:rFonts w:ascii="Times New Roman" w:hAnsi="Times New Roman"/>
                <w:sz w:val="20"/>
              </w:rPr>
            </w:pPr>
            <w:r w:rsidRPr="00A70141">
              <w:rPr>
                <w:rFonts w:ascii="Times New Roman" w:hAnsi="Times New Roman"/>
                <w:sz w:val="20"/>
              </w:rPr>
              <w:t>Index</w:t>
            </w:r>
          </w:p>
        </w:tc>
        <w:tc>
          <w:tcPr>
            <w:tcW w:w="1701" w:type="dxa"/>
          </w:tcPr>
          <w:p w14:paraId="143DB99E" w14:textId="77777777" w:rsidR="00A70141" w:rsidRPr="00A70141" w:rsidRDefault="00A70141" w:rsidP="003D52A2">
            <w:pPr>
              <w:pStyle w:val="TAH"/>
              <w:spacing w:before="120" w:after="120"/>
              <w:rPr>
                <w:rFonts w:ascii="Times New Roman" w:hAnsi="Times New Roman"/>
                <w:sz w:val="20"/>
              </w:rPr>
            </w:pPr>
            <w:r w:rsidRPr="00A70141">
              <w:rPr>
                <w:rFonts w:ascii="Times New Roman" w:hAnsi="Times New Roman"/>
                <w:sz w:val="20"/>
              </w:rPr>
              <w:t>Feature group</w:t>
            </w:r>
          </w:p>
        </w:tc>
        <w:tc>
          <w:tcPr>
            <w:tcW w:w="2977" w:type="dxa"/>
          </w:tcPr>
          <w:p w14:paraId="1F069BCC" w14:textId="77777777" w:rsidR="00A70141" w:rsidRPr="00A70141" w:rsidRDefault="00A70141" w:rsidP="003D52A2">
            <w:pPr>
              <w:pStyle w:val="TAH"/>
              <w:spacing w:before="120" w:after="120"/>
              <w:rPr>
                <w:rFonts w:ascii="Times New Roman" w:hAnsi="Times New Roman"/>
                <w:sz w:val="20"/>
              </w:rPr>
            </w:pPr>
            <w:r w:rsidRPr="00A70141">
              <w:rPr>
                <w:rFonts w:ascii="Times New Roman" w:hAnsi="Times New Roman"/>
                <w:sz w:val="20"/>
              </w:rPr>
              <w:t>Components</w:t>
            </w:r>
          </w:p>
        </w:tc>
        <w:tc>
          <w:tcPr>
            <w:tcW w:w="1417" w:type="dxa"/>
          </w:tcPr>
          <w:p w14:paraId="5B9399D4" w14:textId="77777777" w:rsidR="00A70141" w:rsidRPr="00A70141" w:rsidRDefault="00A70141" w:rsidP="003D52A2">
            <w:pPr>
              <w:pStyle w:val="TAH"/>
              <w:spacing w:before="120" w:after="120"/>
              <w:rPr>
                <w:rFonts w:ascii="Times New Roman" w:hAnsi="Times New Roman"/>
                <w:sz w:val="20"/>
              </w:rPr>
            </w:pPr>
            <w:r w:rsidRPr="00A70141">
              <w:rPr>
                <w:rFonts w:ascii="Times New Roman" w:hAnsi="Times New Roman"/>
                <w:sz w:val="20"/>
              </w:rPr>
              <w:t>Prerequisite feature groups</w:t>
            </w:r>
          </w:p>
        </w:tc>
        <w:tc>
          <w:tcPr>
            <w:tcW w:w="2552" w:type="dxa"/>
          </w:tcPr>
          <w:p w14:paraId="4881471C" w14:textId="77777777" w:rsidR="00A70141" w:rsidRPr="00A70141" w:rsidRDefault="00A70141" w:rsidP="003D52A2">
            <w:pPr>
              <w:pStyle w:val="TAH"/>
              <w:spacing w:before="120" w:after="120"/>
              <w:rPr>
                <w:rFonts w:ascii="Times New Roman" w:hAnsi="Times New Roman"/>
                <w:sz w:val="20"/>
              </w:rPr>
            </w:pPr>
            <w:r w:rsidRPr="00A70141">
              <w:rPr>
                <w:rFonts w:ascii="Times New Roman" w:hAnsi="Times New Roman"/>
                <w:sz w:val="20"/>
              </w:rPr>
              <w:t>Field name in TS 38.331</w:t>
            </w:r>
          </w:p>
        </w:tc>
        <w:tc>
          <w:tcPr>
            <w:tcW w:w="1843" w:type="dxa"/>
          </w:tcPr>
          <w:p w14:paraId="2291E8FF" w14:textId="77777777" w:rsidR="00A70141" w:rsidRPr="00A70141" w:rsidRDefault="00A70141" w:rsidP="003D52A2">
            <w:pPr>
              <w:pStyle w:val="TAH"/>
              <w:spacing w:before="120" w:after="120"/>
              <w:rPr>
                <w:rFonts w:ascii="Times New Roman" w:hAnsi="Times New Roman"/>
                <w:sz w:val="20"/>
              </w:rPr>
            </w:pPr>
            <w:r w:rsidRPr="00A70141">
              <w:rPr>
                <w:rFonts w:ascii="Times New Roman" w:hAnsi="Times New Roman"/>
                <w:sz w:val="20"/>
              </w:rPr>
              <w:t>Parent IE in TS 38.331</w:t>
            </w:r>
          </w:p>
        </w:tc>
        <w:tc>
          <w:tcPr>
            <w:tcW w:w="1701" w:type="dxa"/>
          </w:tcPr>
          <w:p w14:paraId="52A440B9" w14:textId="77777777" w:rsidR="00A70141" w:rsidRPr="00A70141" w:rsidRDefault="00A70141" w:rsidP="003D52A2">
            <w:pPr>
              <w:pStyle w:val="TAH"/>
              <w:spacing w:before="120" w:after="120"/>
              <w:rPr>
                <w:rFonts w:ascii="Times New Roman" w:hAnsi="Times New Roman"/>
                <w:sz w:val="20"/>
              </w:rPr>
            </w:pPr>
            <w:r w:rsidRPr="00A70141">
              <w:rPr>
                <w:rFonts w:ascii="Times New Roman" w:hAnsi="Times New Roman"/>
                <w:sz w:val="20"/>
              </w:rPr>
              <w:t>Need of FDD/TDD differentiation</w:t>
            </w:r>
          </w:p>
        </w:tc>
        <w:tc>
          <w:tcPr>
            <w:tcW w:w="1559" w:type="dxa"/>
          </w:tcPr>
          <w:p w14:paraId="0253DAFE" w14:textId="77777777" w:rsidR="00A70141" w:rsidRPr="00A70141" w:rsidRDefault="00A70141" w:rsidP="003D52A2">
            <w:pPr>
              <w:pStyle w:val="TAH"/>
              <w:spacing w:before="120" w:after="120"/>
              <w:rPr>
                <w:rFonts w:ascii="Times New Roman" w:hAnsi="Times New Roman"/>
                <w:sz w:val="20"/>
              </w:rPr>
            </w:pPr>
            <w:r w:rsidRPr="00A70141">
              <w:rPr>
                <w:rFonts w:ascii="Times New Roman" w:hAnsi="Times New Roman"/>
                <w:sz w:val="20"/>
              </w:rPr>
              <w:t>Need of FR1/FR2 differentiation</w:t>
            </w:r>
          </w:p>
        </w:tc>
        <w:tc>
          <w:tcPr>
            <w:tcW w:w="1276" w:type="dxa"/>
          </w:tcPr>
          <w:p w14:paraId="6604F752" w14:textId="77777777" w:rsidR="00A70141" w:rsidRPr="00A70141" w:rsidRDefault="00A70141" w:rsidP="003D52A2">
            <w:pPr>
              <w:pStyle w:val="TAH"/>
              <w:spacing w:before="120" w:after="120"/>
              <w:rPr>
                <w:rFonts w:ascii="Times New Roman" w:hAnsi="Times New Roman"/>
                <w:sz w:val="20"/>
              </w:rPr>
            </w:pPr>
            <w:r w:rsidRPr="00A70141">
              <w:rPr>
                <w:rFonts w:ascii="Times New Roman" w:hAnsi="Times New Roman"/>
                <w:sz w:val="20"/>
              </w:rPr>
              <w:t>Note</w:t>
            </w:r>
          </w:p>
        </w:tc>
        <w:tc>
          <w:tcPr>
            <w:tcW w:w="2835" w:type="dxa"/>
          </w:tcPr>
          <w:p w14:paraId="6790F5B5" w14:textId="77777777" w:rsidR="00A70141" w:rsidRPr="00A70141" w:rsidRDefault="00A70141" w:rsidP="003D52A2">
            <w:pPr>
              <w:pStyle w:val="TAH"/>
              <w:spacing w:before="120" w:after="120"/>
              <w:rPr>
                <w:rFonts w:ascii="Times New Roman" w:hAnsi="Times New Roman"/>
                <w:sz w:val="20"/>
              </w:rPr>
            </w:pPr>
            <w:r w:rsidRPr="00A70141">
              <w:rPr>
                <w:rFonts w:ascii="Times New Roman" w:hAnsi="Times New Roman"/>
                <w:sz w:val="20"/>
              </w:rPr>
              <w:t>Mandatory/Optional</w:t>
            </w:r>
          </w:p>
        </w:tc>
      </w:tr>
      <w:tr w:rsidR="00A943B6" w:rsidRPr="00A70141" w14:paraId="5F383B7E" w14:textId="77777777" w:rsidTr="00A70141">
        <w:tc>
          <w:tcPr>
            <w:tcW w:w="1129" w:type="dxa"/>
            <w:tcBorders>
              <w:top w:val="single" w:sz="4" w:space="0" w:color="auto"/>
              <w:left w:val="single" w:sz="4" w:space="0" w:color="auto"/>
              <w:bottom w:val="single" w:sz="4" w:space="0" w:color="auto"/>
              <w:right w:val="single" w:sz="4" w:space="0" w:color="auto"/>
            </w:tcBorders>
          </w:tcPr>
          <w:p w14:paraId="0A3914E9" w14:textId="77777777" w:rsidR="00A70141" w:rsidRPr="00A70141" w:rsidRDefault="00A70141" w:rsidP="003D52A2">
            <w:pPr>
              <w:pStyle w:val="TAL"/>
              <w:spacing w:before="120" w:after="120"/>
              <w:rPr>
                <w:rFonts w:ascii="Times New Roman" w:hAnsi="Times New Roman"/>
                <w:sz w:val="20"/>
              </w:rPr>
            </w:pPr>
            <w:r w:rsidRPr="00A70141">
              <w:rPr>
                <w:rFonts w:ascii="Times New Roman" w:hAnsi="Times New Roman"/>
                <w:sz w:val="20"/>
              </w:rPr>
              <w:t>xx.</w:t>
            </w:r>
          </w:p>
          <w:p w14:paraId="4AE3D7A1" w14:textId="77777777" w:rsidR="00A70141" w:rsidRPr="00A70141" w:rsidRDefault="00A70141" w:rsidP="003D52A2">
            <w:pPr>
              <w:pStyle w:val="TAL"/>
              <w:spacing w:before="120" w:after="120"/>
              <w:rPr>
                <w:rFonts w:ascii="Times New Roman" w:hAnsi="Times New Roman"/>
                <w:sz w:val="20"/>
              </w:rPr>
            </w:pPr>
            <w:r w:rsidRPr="00A70141">
              <w:rPr>
                <w:rFonts w:ascii="Times New Roman" w:hAnsi="Times New Roman"/>
                <w:sz w:val="20"/>
              </w:rPr>
              <w:t>NR_ATG</w:t>
            </w:r>
          </w:p>
        </w:tc>
        <w:tc>
          <w:tcPr>
            <w:tcW w:w="709" w:type="dxa"/>
            <w:tcBorders>
              <w:top w:val="single" w:sz="4" w:space="0" w:color="auto"/>
              <w:left w:val="single" w:sz="4" w:space="0" w:color="auto"/>
              <w:bottom w:val="single" w:sz="4" w:space="0" w:color="auto"/>
              <w:right w:val="single" w:sz="4" w:space="0" w:color="auto"/>
            </w:tcBorders>
          </w:tcPr>
          <w:p w14:paraId="21D4230B" w14:textId="77777777" w:rsidR="00A70141" w:rsidRPr="00A70141" w:rsidRDefault="00A70141" w:rsidP="003D52A2">
            <w:pPr>
              <w:pStyle w:val="TAL"/>
              <w:spacing w:before="120" w:after="120"/>
              <w:rPr>
                <w:rFonts w:ascii="Times New Roman" w:hAnsi="Times New Roman"/>
                <w:sz w:val="20"/>
              </w:rPr>
            </w:pPr>
            <w:r w:rsidRPr="00A70141">
              <w:rPr>
                <w:rFonts w:ascii="Times New Roman" w:hAnsi="Times New Roman"/>
                <w:sz w:val="20"/>
              </w:rPr>
              <w:t>xx-x</w:t>
            </w:r>
          </w:p>
        </w:tc>
        <w:tc>
          <w:tcPr>
            <w:tcW w:w="1701" w:type="dxa"/>
            <w:tcBorders>
              <w:top w:val="single" w:sz="4" w:space="0" w:color="auto"/>
              <w:left w:val="single" w:sz="4" w:space="0" w:color="auto"/>
              <w:bottom w:val="single" w:sz="4" w:space="0" w:color="auto"/>
              <w:right w:val="single" w:sz="4" w:space="0" w:color="auto"/>
            </w:tcBorders>
          </w:tcPr>
          <w:p w14:paraId="62511185" w14:textId="77777777" w:rsidR="00A70141" w:rsidRPr="00A70141" w:rsidRDefault="00A70141" w:rsidP="003D52A2">
            <w:pPr>
              <w:pStyle w:val="TAL"/>
              <w:spacing w:before="120" w:after="120"/>
              <w:rPr>
                <w:rFonts w:ascii="Times New Roman" w:hAnsi="Times New Roman"/>
                <w:sz w:val="20"/>
              </w:rPr>
            </w:pPr>
            <w:r w:rsidRPr="00A70141">
              <w:rPr>
                <w:rFonts w:ascii="Times New Roman" w:hAnsi="Times New Roman"/>
                <w:sz w:val="20"/>
              </w:rPr>
              <w:t>Uplink Time and Frequency pre-compensation and timing relationship enhancements</w:t>
            </w:r>
          </w:p>
        </w:tc>
        <w:tc>
          <w:tcPr>
            <w:tcW w:w="2977" w:type="dxa"/>
            <w:tcBorders>
              <w:top w:val="single" w:sz="4" w:space="0" w:color="auto"/>
              <w:left w:val="single" w:sz="4" w:space="0" w:color="auto"/>
              <w:bottom w:val="single" w:sz="4" w:space="0" w:color="auto"/>
              <w:right w:val="single" w:sz="4" w:space="0" w:color="auto"/>
            </w:tcBorders>
          </w:tcPr>
          <w:p w14:paraId="5B1A01D1" w14:textId="77777777" w:rsidR="00A70141" w:rsidRPr="00A70141" w:rsidRDefault="00A70141" w:rsidP="003D52A2">
            <w:pPr>
              <w:pStyle w:val="TAL"/>
              <w:numPr>
                <w:ilvl w:val="3"/>
                <w:numId w:val="10"/>
              </w:numPr>
              <w:spacing w:before="120" w:after="120"/>
              <w:ind w:left="0" w:firstLine="0"/>
              <w:rPr>
                <w:rFonts w:ascii="Times New Roman" w:hAnsi="Times New Roman"/>
                <w:sz w:val="20"/>
              </w:rPr>
            </w:pPr>
            <w:r w:rsidRPr="00A70141">
              <w:rPr>
                <w:rFonts w:ascii="Times New Roman" w:hAnsi="Times New Roman"/>
                <w:sz w:val="20"/>
              </w:rPr>
              <w:t>Support of UE specific TA calculation based on its GNSS-acquired position and the indicated BS location.</w:t>
            </w:r>
          </w:p>
          <w:p w14:paraId="0FC49B5A" w14:textId="77777777" w:rsidR="00A70141" w:rsidRPr="00A70141" w:rsidRDefault="00A70141" w:rsidP="003D52A2">
            <w:pPr>
              <w:pStyle w:val="TAL"/>
              <w:numPr>
                <w:ilvl w:val="3"/>
                <w:numId w:val="10"/>
              </w:numPr>
              <w:spacing w:before="120" w:after="120"/>
              <w:ind w:left="0" w:firstLine="0"/>
              <w:rPr>
                <w:rFonts w:ascii="Times New Roman" w:hAnsi="Times New Roman"/>
                <w:sz w:val="20"/>
              </w:rPr>
            </w:pPr>
            <w:r w:rsidRPr="00A70141">
              <w:rPr>
                <w:rFonts w:ascii="Times New Roman" w:hAnsi="Times New Roman"/>
                <w:sz w:val="20"/>
              </w:rPr>
              <w:t>Support of open (i.e. UE autonomous TA estimation) and closed (i.e., received TA commands) loop control for TA update in RRC_CONNECTED state.</w:t>
            </w:r>
          </w:p>
          <w:p w14:paraId="048878CE" w14:textId="77777777" w:rsidR="00A70141" w:rsidRPr="00A70141" w:rsidRDefault="00A70141" w:rsidP="003D52A2">
            <w:pPr>
              <w:pStyle w:val="TAL"/>
              <w:numPr>
                <w:ilvl w:val="3"/>
                <w:numId w:val="10"/>
              </w:numPr>
              <w:spacing w:before="120" w:after="120"/>
              <w:ind w:left="0" w:firstLine="0"/>
              <w:rPr>
                <w:rFonts w:ascii="Times New Roman" w:hAnsi="Times New Roman"/>
                <w:sz w:val="20"/>
              </w:rPr>
            </w:pPr>
            <w:r w:rsidRPr="00A70141">
              <w:rPr>
                <w:rFonts w:ascii="Times New Roman" w:hAnsi="Times New Roman"/>
                <w:sz w:val="20"/>
              </w:rPr>
              <w:t>Support of pre-compensation of the calculated TA in the uplink transmissions.</w:t>
            </w:r>
          </w:p>
          <w:p w14:paraId="028F37A7" w14:textId="77777777" w:rsidR="00A70141" w:rsidRPr="00A70141" w:rsidRDefault="00A70141" w:rsidP="003D52A2">
            <w:pPr>
              <w:pStyle w:val="TAL"/>
              <w:numPr>
                <w:ilvl w:val="3"/>
                <w:numId w:val="10"/>
              </w:numPr>
              <w:spacing w:before="120" w:after="120"/>
              <w:ind w:left="0" w:firstLine="0"/>
              <w:rPr>
                <w:rFonts w:ascii="Times New Roman" w:hAnsi="Times New Roman"/>
                <w:sz w:val="20"/>
              </w:rPr>
            </w:pPr>
            <w:r w:rsidRPr="00A70141">
              <w:rPr>
                <w:rFonts w:ascii="Times New Roman" w:hAnsi="Times New Roman"/>
                <w:sz w:val="20"/>
              </w:rPr>
              <w:t>Support of frequency pre-compensation to account for the Doppler experienced on the service link.</w:t>
            </w:r>
          </w:p>
          <w:p w14:paraId="4B56B9B7" w14:textId="77777777" w:rsidR="00A70141" w:rsidRPr="00A70141" w:rsidRDefault="00A70141" w:rsidP="003D52A2">
            <w:pPr>
              <w:pStyle w:val="TAL"/>
              <w:numPr>
                <w:ilvl w:val="3"/>
                <w:numId w:val="10"/>
              </w:numPr>
              <w:spacing w:before="120" w:after="120"/>
              <w:ind w:left="0" w:firstLine="0"/>
              <w:rPr>
                <w:rFonts w:ascii="Times New Roman" w:hAnsi="Times New Roman"/>
                <w:sz w:val="20"/>
              </w:rPr>
            </w:pPr>
            <w:r w:rsidRPr="00A70141">
              <w:rPr>
                <w:rFonts w:ascii="Times New Roman" w:hAnsi="Times New Roman"/>
                <w:sz w:val="20"/>
              </w:rPr>
              <w:t>Support of determining timing of the scheduling of PUSCH, PUCCH and PDCCH ordered PRACH, CSI reference resource, transmission of aperiodic SRS activation of TA command, first PUSCH transmission in CG Type 2 with cell-specific K_offset if indicated.</w:t>
            </w:r>
          </w:p>
          <w:p w14:paraId="27076A43" w14:textId="360E5CAB" w:rsidR="00A70141" w:rsidRPr="00A943B6" w:rsidRDefault="00A70141" w:rsidP="003D52A2">
            <w:pPr>
              <w:pStyle w:val="TAL"/>
              <w:numPr>
                <w:ilvl w:val="3"/>
                <w:numId w:val="10"/>
              </w:numPr>
              <w:spacing w:before="120" w:after="120"/>
              <w:ind w:left="0" w:firstLine="0"/>
              <w:rPr>
                <w:rFonts w:ascii="Times New Roman" w:hAnsi="Times New Roman"/>
                <w:sz w:val="20"/>
              </w:rPr>
            </w:pPr>
            <w:r w:rsidRPr="00A70141">
              <w:rPr>
                <w:rFonts w:ascii="Times New Roman" w:hAnsi="Times New Roman"/>
                <w:sz w:val="20"/>
              </w:rPr>
              <w:t>Support of UE receiving cell-specific K_offset in system information..</w:t>
            </w:r>
          </w:p>
        </w:tc>
        <w:tc>
          <w:tcPr>
            <w:tcW w:w="1417" w:type="dxa"/>
            <w:tcBorders>
              <w:top w:val="single" w:sz="4" w:space="0" w:color="auto"/>
              <w:left w:val="single" w:sz="4" w:space="0" w:color="auto"/>
              <w:bottom w:val="single" w:sz="4" w:space="0" w:color="auto"/>
              <w:right w:val="single" w:sz="4" w:space="0" w:color="auto"/>
            </w:tcBorders>
          </w:tcPr>
          <w:p w14:paraId="628441FD" w14:textId="77777777" w:rsidR="00A70141" w:rsidRPr="00A70141" w:rsidRDefault="00A70141" w:rsidP="003D52A2">
            <w:pPr>
              <w:pStyle w:val="TAL"/>
              <w:spacing w:before="120" w:after="120"/>
              <w:rPr>
                <w:rFonts w:ascii="Times New Roman" w:hAnsi="Times New Roman"/>
                <w:sz w:val="20"/>
              </w:rPr>
            </w:pPr>
          </w:p>
        </w:tc>
        <w:tc>
          <w:tcPr>
            <w:tcW w:w="2552" w:type="dxa"/>
            <w:tcBorders>
              <w:top w:val="single" w:sz="4" w:space="0" w:color="auto"/>
              <w:left w:val="single" w:sz="4" w:space="0" w:color="auto"/>
              <w:bottom w:val="single" w:sz="4" w:space="0" w:color="auto"/>
              <w:right w:val="single" w:sz="4" w:space="0" w:color="auto"/>
            </w:tcBorders>
          </w:tcPr>
          <w:p w14:paraId="06E462DA" w14:textId="535130EF" w:rsidR="00A943B6" w:rsidRPr="00A70141" w:rsidRDefault="00A943B6" w:rsidP="003D52A2">
            <w:pPr>
              <w:pStyle w:val="TAL"/>
              <w:spacing w:before="120" w:after="120"/>
              <w:rPr>
                <w:rFonts w:ascii="Times New Roman" w:hAnsi="Times New Roman"/>
                <w:i/>
                <w:iCs/>
                <w:sz w:val="20"/>
                <w:highlight w:val="yellow"/>
              </w:rPr>
            </w:pPr>
            <w:r w:rsidRPr="005834B0">
              <w:rPr>
                <w:rFonts w:ascii="Times New Roman" w:hAnsi="Times New Roman"/>
                <w:i/>
                <w:iCs/>
                <w:color w:val="FF0000"/>
                <w:sz w:val="20"/>
              </w:rPr>
              <w:t>uplinkPreCompensationATG-r18</w:t>
            </w:r>
          </w:p>
        </w:tc>
        <w:tc>
          <w:tcPr>
            <w:tcW w:w="1843" w:type="dxa"/>
            <w:tcBorders>
              <w:top w:val="single" w:sz="4" w:space="0" w:color="auto"/>
              <w:left w:val="single" w:sz="4" w:space="0" w:color="auto"/>
              <w:bottom w:val="single" w:sz="4" w:space="0" w:color="auto"/>
              <w:right w:val="single" w:sz="4" w:space="0" w:color="auto"/>
            </w:tcBorders>
          </w:tcPr>
          <w:p w14:paraId="02B0F3CE" w14:textId="5E7F0999" w:rsidR="009C09C4" w:rsidRPr="00A70141" w:rsidRDefault="009C09C4" w:rsidP="003D52A2">
            <w:pPr>
              <w:pStyle w:val="TAL"/>
              <w:spacing w:before="120" w:after="120"/>
              <w:rPr>
                <w:rFonts w:ascii="Times New Roman" w:hAnsi="Times New Roman"/>
                <w:i/>
                <w:iCs/>
                <w:sz w:val="20"/>
                <w:highlight w:val="yellow"/>
              </w:rPr>
            </w:pPr>
            <w:r w:rsidRPr="005834B0">
              <w:rPr>
                <w:rFonts w:ascii="Times New Roman" w:hAnsi="Times New Roman"/>
                <w:i/>
                <w:iCs/>
                <w:color w:val="FF0000"/>
                <w:sz w:val="20"/>
              </w:rPr>
              <w:t>Phy-ParametersFR1</w:t>
            </w:r>
          </w:p>
        </w:tc>
        <w:tc>
          <w:tcPr>
            <w:tcW w:w="1701" w:type="dxa"/>
            <w:tcBorders>
              <w:top w:val="single" w:sz="4" w:space="0" w:color="auto"/>
              <w:left w:val="single" w:sz="4" w:space="0" w:color="auto"/>
              <w:bottom w:val="single" w:sz="4" w:space="0" w:color="auto"/>
              <w:right w:val="single" w:sz="4" w:space="0" w:color="auto"/>
            </w:tcBorders>
          </w:tcPr>
          <w:p w14:paraId="5985D890" w14:textId="77777777" w:rsidR="00A70141" w:rsidRPr="00A70141" w:rsidRDefault="00A70141" w:rsidP="003D52A2">
            <w:pPr>
              <w:pStyle w:val="TAL"/>
              <w:spacing w:before="120" w:after="120"/>
              <w:rPr>
                <w:rFonts w:ascii="Times New Roman" w:hAnsi="Times New Roman"/>
                <w:sz w:val="20"/>
              </w:rPr>
            </w:pPr>
            <w:r w:rsidRPr="00A70141">
              <w:rPr>
                <w:rFonts w:ascii="Times New Roman" w:hAnsi="Times New Roman"/>
                <w:sz w:val="20"/>
              </w:rPr>
              <w:t>No</w:t>
            </w:r>
          </w:p>
        </w:tc>
        <w:tc>
          <w:tcPr>
            <w:tcW w:w="1559" w:type="dxa"/>
            <w:tcBorders>
              <w:top w:val="single" w:sz="4" w:space="0" w:color="auto"/>
              <w:left w:val="single" w:sz="4" w:space="0" w:color="auto"/>
              <w:bottom w:val="single" w:sz="4" w:space="0" w:color="auto"/>
              <w:right w:val="single" w:sz="4" w:space="0" w:color="auto"/>
            </w:tcBorders>
          </w:tcPr>
          <w:p w14:paraId="7ED1E507" w14:textId="77777777" w:rsidR="00A70141" w:rsidRPr="00A70141" w:rsidRDefault="00A70141" w:rsidP="003D52A2">
            <w:pPr>
              <w:pStyle w:val="TAL"/>
              <w:spacing w:before="120" w:after="120"/>
              <w:rPr>
                <w:rFonts w:ascii="Times New Roman" w:hAnsi="Times New Roman"/>
                <w:sz w:val="20"/>
              </w:rPr>
            </w:pPr>
            <w:r w:rsidRPr="00A70141">
              <w:rPr>
                <w:rFonts w:ascii="Times New Roman" w:hAnsi="Times New Roman"/>
                <w:sz w:val="20"/>
              </w:rPr>
              <w:t>FR1 only</w:t>
            </w:r>
          </w:p>
        </w:tc>
        <w:tc>
          <w:tcPr>
            <w:tcW w:w="1276" w:type="dxa"/>
            <w:tcBorders>
              <w:top w:val="single" w:sz="4" w:space="0" w:color="auto"/>
              <w:left w:val="single" w:sz="4" w:space="0" w:color="auto"/>
              <w:bottom w:val="single" w:sz="4" w:space="0" w:color="auto"/>
              <w:right w:val="single" w:sz="4" w:space="0" w:color="auto"/>
            </w:tcBorders>
          </w:tcPr>
          <w:p w14:paraId="554C30C8" w14:textId="77777777" w:rsidR="00A70141" w:rsidRPr="00A70141" w:rsidRDefault="00A70141" w:rsidP="003D52A2">
            <w:pPr>
              <w:pStyle w:val="TAL"/>
              <w:spacing w:before="120" w:after="120"/>
              <w:rPr>
                <w:rFonts w:ascii="Times New Roman" w:hAnsi="Times New Roman"/>
                <w:sz w:val="20"/>
              </w:rPr>
            </w:pPr>
          </w:p>
        </w:tc>
        <w:tc>
          <w:tcPr>
            <w:tcW w:w="2835" w:type="dxa"/>
            <w:tcBorders>
              <w:top w:val="single" w:sz="4" w:space="0" w:color="auto"/>
              <w:left w:val="single" w:sz="4" w:space="0" w:color="auto"/>
              <w:bottom w:val="single" w:sz="4" w:space="0" w:color="auto"/>
              <w:right w:val="single" w:sz="4" w:space="0" w:color="auto"/>
            </w:tcBorders>
          </w:tcPr>
          <w:p w14:paraId="66F85094" w14:textId="77777777" w:rsidR="00A70141" w:rsidRPr="00A70141" w:rsidRDefault="00A70141" w:rsidP="003D52A2">
            <w:pPr>
              <w:pStyle w:val="TAL"/>
              <w:spacing w:before="120" w:after="120"/>
              <w:rPr>
                <w:rFonts w:ascii="Times New Roman" w:hAnsi="Times New Roman"/>
                <w:sz w:val="20"/>
              </w:rPr>
            </w:pPr>
            <w:r w:rsidRPr="00A70141">
              <w:rPr>
                <w:rFonts w:ascii="Times New Roman" w:hAnsi="Times New Roman"/>
                <w:sz w:val="20"/>
              </w:rPr>
              <w:t>Mandatory with capability signaling for UE supports NR communication via ATG</w:t>
            </w:r>
          </w:p>
        </w:tc>
      </w:tr>
      <w:tr w:rsidR="00A943B6" w:rsidRPr="00A70141" w14:paraId="5F7B8B80" w14:textId="77777777" w:rsidTr="00A70141">
        <w:tc>
          <w:tcPr>
            <w:tcW w:w="1129" w:type="dxa"/>
            <w:tcBorders>
              <w:top w:val="single" w:sz="4" w:space="0" w:color="auto"/>
              <w:left w:val="single" w:sz="4" w:space="0" w:color="auto"/>
              <w:bottom w:val="single" w:sz="4" w:space="0" w:color="auto"/>
              <w:right w:val="single" w:sz="4" w:space="0" w:color="auto"/>
            </w:tcBorders>
          </w:tcPr>
          <w:p w14:paraId="0CFA360F" w14:textId="77777777" w:rsidR="00A943B6" w:rsidRPr="00A70141" w:rsidRDefault="00A943B6" w:rsidP="00A943B6">
            <w:pPr>
              <w:pStyle w:val="TAL"/>
              <w:spacing w:before="120" w:after="120"/>
              <w:rPr>
                <w:rFonts w:ascii="Times New Roman" w:hAnsi="Times New Roman"/>
                <w:sz w:val="20"/>
              </w:rPr>
            </w:pPr>
            <w:r w:rsidRPr="00A70141">
              <w:rPr>
                <w:rFonts w:ascii="Times New Roman" w:hAnsi="Times New Roman"/>
                <w:sz w:val="20"/>
              </w:rPr>
              <w:t>xx.</w:t>
            </w:r>
          </w:p>
          <w:p w14:paraId="326278CA" w14:textId="75F8836F" w:rsidR="00A943B6" w:rsidRPr="00A70141" w:rsidRDefault="00A943B6" w:rsidP="00A943B6">
            <w:pPr>
              <w:pStyle w:val="TAL"/>
              <w:spacing w:before="120" w:after="120"/>
              <w:rPr>
                <w:rFonts w:ascii="Times New Roman" w:hAnsi="Times New Roman"/>
                <w:sz w:val="20"/>
              </w:rPr>
            </w:pPr>
            <w:r w:rsidRPr="00A70141">
              <w:rPr>
                <w:rFonts w:ascii="Times New Roman" w:hAnsi="Times New Roman"/>
                <w:sz w:val="20"/>
              </w:rPr>
              <w:t>NR_ATG</w:t>
            </w:r>
          </w:p>
        </w:tc>
        <w:tc>
          <w:tcPr>
            <w:tcW w:w="709" w:type="dxa"/>
            <w:tcBorders>
              <w:top w:val="single" w:sz="4" w:space="0" w:color="auto"/>
              <w:left w:val="single" w:sz="4" w:space="0" w:color="auto"/>
              <w:bottom w:val="single" w:sz="4" w:space="0" w:color="auto"/>
              <w:right w:val="single" w:sz="4" w:space="0" w:color="auto"/>
            </w:tcBorders>
          </w:tcPr>
          <w:p w14:paraId="06C0A252" w14:textId="59D73D0C" w:rsidR="00A943B6" w:rsidRPr="00A70141" w:rsidRDefault="00A943B6" w:rsidP="00A943B6">
            <w:pPr>
              <w:pStyle w:val="TAL"/>
              <w:spacing w:before="120" w:after="120"/>
              <w:rPr>
                <w:rFonts w:ascii="Times New Roman" w:hAnsi="Times New Roman"/>
                <w:sz w:val="20"/>
              </w:rPr>
            </w:pPr>
            <w:r w:rsidRPr="00A70141">
              <w:rPr>
                <w:rFonts w:ascii="Times New Roman" w:hAnsi="Times New Roman"/>
                <w:sz w:val="20"/>
              </w:rPr>
              <w:t>xx-x</w:t>
            </w:r>
          </w:p>
        </w:tc>
        <w:tc>
          <w:tcPr>
            <w:tcW w:w="1701" w:type="dxa"/>
            <w:tcBorders>
              <w:top w:val="single" w:sz="4" w:space="0" w:color="auto"/>
              <w:left w:val="single" w:sz="4" w:space="0" w:color="auto"/>
              <w:bottom w:val="single" w:sz="4" w:space="0" w:color="auto"/>
              <w:right w:val="single" w:sz="4" w:space="0" w:color="auto"/>
            </w:tcBorders>
          </w:tcPr>
          <w:p w14:paraId="271FDB76" w14:textId="7DCE40D8" w:rsidR="00A943B6" w:rsidRPr="00A70141" w:rsidRDefault="00A943B6" w:rsidP="00A943B6">
            <w:pPr>
              <w:pStyle w:val="TAL"/>
              <w:spacing w:before="120" w:after="120"/>
              <w:rPr>
                <w:rFonts w:ascii="Times New Roman" w:hAnsi="Times New Roman"/>
                <w:sz w:val="20"/>
              </w:rPr>
            </w:pPr>
            <w:r w:rsidRPr="00A70141">
              <w:rPr>
                <w:rFonts w:ascii="Times New Roman" w:hAnsi="Times New Roman"/>
                <w:sz w:val="20"/>
              </w:rPr>
              <w:t>UE reporting of TA information</w:t>
            </w:r>
          </w:p>
        </w:tc>
        <w:tc>
          <w:tcPr>
            <w:tcW w:w="2977" w:type="dxa"/>
            <w:tcBorders>
              <w:top w:val="single" w:sz="4" w:space="0" w:color="auto"/>
              <w:left w:val="single" w:sz="4" w:space="0" w:color="auto"/>
              <w:bottom w:val="single" w:sz="4" w:space="0" w:color="auto"/>
              <w:right w:val="single" w:sz="4" w:space="0" w:color="auto"/>
            </w:tcBorders>
          </w:tcPr>
          <w:p w14:paraId="0C331623" w14:textId="75BA6591" w:rsidR="00A943B6" w:rsidRPr="00A70141" w:rsidRDefault="00A943B6" w:rsidP="00A943B6">
            <w:pPr>
              <w:pStyle w:val="TAL"/>
              <w:numPr>
                <w:ilvl w:val="3"/>
                <w:numId w:val="18"/>
              </w:numPr>
              <w:spacing w:before="120" w:after="120"/>
              <w:ind w:left="0" w:firstLine="0"/>
              <w:rPr>
                <w:rFonts w:ascii="Times New Roman" w:hAnsi="Times New Roman"/>
                <w:sz w:val="20"/>
              </w:rPr>
            </w:pPr>
            <w:r w:rsidRPr="00A70141">
              <w:rPr>
                <w:rFonts w:ascii="Times New Roman" w:hAnsi="Times New Roman"/>
                <w:sz w:val="20"/>
              </w:rPr>
              <w:t>Support UE reporting of TA information</w:t>
            </w:r>
          </w:p>
        </w:tc>
        <w:tc>
          <w:tcPr>
            <w:tcW w:w="1417" w:type="dxa"/>
            <w:tcBorders>
              <w:top w:val="single" w:sz="4" w:space="0" w:color="auto"/>
              <w:left w:val="single" w:sz="4" w:space="0" w:color="auto"/>
              <w:bottom w:val="single" w:sz="4" w:space="0" w:color="auto"/>
              <w:right w:val="single" w:sz="4" w:space="0" w:color="auto"/>
            </w:tcBorders>
          </w:tcPr>
          <w:p w14:paraId="1EE4EF25" w14:textId="1FD05783" w:rsidR="00A943B6" w:rsidRPr="00A70141" w:rsidRDefault="00A943B6" w:rsidP="00A943B6">
            <w:pPr>
              <w:pStyle w:val="TAL"/>
              <w:spacing w:before="120" w:after="120"/>
              <w:rPr>
                <w:rFonts w:ascii="Times New Roman" w:hAnsi="Times New Roman"/>
                <w:sz w:val="20"/>
              </w:rPr>
            </w:pPr>
            <w:r w:rsidRPr="00A70141">
              <w:rPr>
                <w:rFonts w:ascii="Times New Roman" w:hAnsi="Times New Roman"/>
                <w:sz w:val="20"/>
              </w:rPr>
              <w:t>[Uplink Time and Frequency pre-compensation and timing relationship enhancements]</w:t>
            </w:r>
          </w:p>
        </w:tc>
        <w:tc>
          <w:tcPr>
            <w:tcW w:w="2552" w:type="dxa"/>
            <w:tcBorders>
              <w:top w:val="single" w:sz="4" w:space="0" w:color="auto"/>
              <w:left w:val="single" w:sz="4" w:space="0" w:color="auto"/>
              <w:bottom w:val="single" w:sz="4" w:space="0" w:color="auto"/>
              <w:right w:val="single" w:sz="4" w:space="0" w:color="auto"/>
            </w:tcBorders>
          </w:tcPr>
          <w:p w14:paraId="4FB71B48" w14:textId="73358801" w:rsidR="005A6E67" w:rsidRPr="00A943B6" w:rsidRDefault="005A6E67" w:rsidP="00A943B6">
            <w:pPr>
              <w:pStyle w:val="TAL"/>
              <w:spacing w:before="120" w:after="120"/>
              <w:rPr>
                <w:rFonts w:ascii="Times New Roman" w:hAnsi="Times New Roman"/>
                <w:i/>
                <w:iCs/>
                <w:noProof/>
                <w:sz w:val="20"/>
                <w:highlight w:val="yellow"/>
                <w:lang w:eastAsia="en-GB"/>
              </w:rPr>
            </w:pPr>
            <w:r w:rsidRPr="005834B0">
              <w:rPr>
                <w:rFonts w:ascii="Times New Roman" w:hAnsi="Times New Roman"/>
                <w:i/>
                <w:iCs/>
                <w:noProof/>
                <w:color w:val="FF0000"/>
                <w:sz w:val="20"/>
                <w:lang w:eastAsia="en-GB"/>
              </w:rPr>
              <w:t>ta-ReportATG-r18</w:t>
            </w:r>
          </w:p>
        </w:tc>
        <w:tc>
          <w:tcPr>
            <w:tcW w:w="1843" w:type="dxa"/>
            <w:tcBorders>
              <w:top w:val="single" w:sz="4" w:space="0" w:color="auto"/>
              <w:left w:val="single" w:sz="4" w:space="0" w:color="auto"/>
              <w:bottom w:val="single" w:sz="4" w:space="0" w:color="auto"/>
              <w:right w:val="single" w:sz="4" w:space="0" w:color="auto"/>
            </w:tcBorders>
          </w:tcPr>
          <w:p w14:paraId="3E9E85E1" w14:textId="0BBF4666" w:rsidR="009C09C4" w:rsidRPr="00A943B6" w:rsidRDefault="009C09C4" w:rsidP="00A943B6">
            <w:pPr>
              <w:pStyle w:val="TAL"/>
              <w:spacing w:before="120" w:after="120"/>
              <w:rPr>
                <w:rFonts w:ascii="Times New Roman" w:hAnsi="Times New Roman"/>
                <w:i/>
                <w:iCs/>
                <w:noProof/>
                <w:sz w:val="20"/>
                <w:highlight w:val="yellow"/>
                <w:lang w:eastAsia="en-GB"/>
              </w:rPr>
            </w:pPr>
            <w:r w:rsidRPr="005834B0">
              <w:rPr>
                <w:rFonts w:ascii="Times New Roman" w:hAnsi="Times New Roman"/>
                <w:i/>
                <w:iCs/>
                <w:noProof/>
                <w:color w:val="FF0000"/>
                <w:sz w:val="20"/>
                <w:lang w:eastAsia="en-GB"/>
              </w:rPr>
              <w:t>ATG-Config-r18</w:t>
            </w:r>
          </w:p>
        </w:tc>
        <w:tc>
          <w:tcPr>
            <w:tcW w:w="1701" w:type="dxa"/>
            <w:tcBorders>
              <w:top w:val="single" w:sz="4" w:space="0" w:color="auto"/>
              <w:left w:val="single" w:sz="4" w:space="0" w:color="auto"/>
              <w:bottom w:val="single" w:sz="4" w:space="0" w:color="auto"/>
              <w:right w:val="single" w:sz="4" w:space="0" w:color="auto"/>
            </w:tcBorders>
          </w:tcPr>
          <w:p w14:paraId="6282D1B7" w14:textId="6E7B142B" w:rsidR="00A943B6" w:rsidRPr="00A70141" w:rsidRDefault="00A943B6" w:rsidP="00A943B6">
            <w:pPr>
              <w:pStyle w:val="TAL"/>
              <w:spacing w:before="120" w:after="120"/>
              <w:rPr>
                <w:rFonts w:ascii="Times New Roman" w:hAnsi="Times New Roman"/>
                <w:sz w:val="20"/>
              </w:rPr>
            </w:pPr>
            <w:r w:rsidRPr="00A70141">
              <w:rPr>
                <w:rFonts w:ascii="Times New Roman" w:hAnsi="Times New Roman"/>
                <w:sz w:val="20"/>
              </w:rPr>
              <w:t>No</w:t>
            </w:r>
          </w:p>
        </w:tc>
        <w:tc>
          <w:tcPr>
            <w:tcW w:w="1559" w:type="dxa"/>
            <w:tcBorders>
              <w:top w:val="single" w:sz="4" w:space="0" w:color="auto"/>
              <w:left w:val="single" w:sz="4" w:space="0" w:color="auto"/>
              <w:bottom w:val="single" w:sz="4" w:space="0" w:color="auto"/>
              <w:right w:val="single" w:sz="4" w:space="0" w:color="auto"/>
            </w:tcBorders>
          </w:tcPr>
          <w:p w14:paraId="4FB45689" w14:textId="02C1B321" w:rsidR="00A943B6" w:rsidRPr="00A70141" w:rsidRDefault="00A943B6" w:rsidP="00A943B6">
            <w:pPr>
              <w:pStyle w:val="TAL"/>
              <w:spacing w:before="120" w:after="120"/>
              <w:rPr>
                <w:rFonts w:ascii="Times New Roman" w:hAnsi="Times New Roman"/>
                <w:sz w:val="20"/>
              </w:rPr>
            </w:pPr>
            <w:r w:rsidRPr="00A70141">
              <w:rPr>
                <w:rFonts w:ascii="Times New Roman" w:hAnsi="Times New Roman"/>
                <w:sz w:val="20"/>
              </w:rPr>
              <w:t>FR1 only</w:t>
            </w:r>
          </w:p>
        </w:tc>
        <w:tc>
          <w:tcPr>
            <w:tcW w:w="1276" w:type="dxa"/>
            <w:tcBorders>
              <w:top w:val="single" w:sz="4" w:space="0" w:color="auto"/>
              <w:left w:val="single" w:sz="4" w:space="0" w:color="auto"/>
              <w:bottom w:val="single" w:sz="4" w:space="0" w:color="auto"/>
              <w:right w:val="single" w:sz="4" w:space="0" w:color="auto"/>
            </w:tcBorders>
          </w:tcPr>
          <w:p w14:paraId="5468A5AD" w14:textId="77777777" w:rsidR="00A943B6" w:rsidRPr="00A70141" w:rsidRDefault="00A943B6" w:rsidP="00A943B6">
            <w:pPr>
              <w:pStyle w:val="TAL"/>
              <w:spacing w:before="120" w:after="120"/>
              <w:rPr>
                <w:rFonts w:ascii="Times New Roman" w:hAnsi="Times New Roman"/>
                <w:sz w:val="20"/>
              </w:rPr>
            </w:pPr>
          </w:p>
        </w:tc>
        <w:tc>
          <w:tcPr>
            <w:tcW w:w="2835" w:type="dxa"/>
            <w:tcBorders>
              <w:top w:val="single" w:sz="4" w:space="0" w:color="auto"/>
              <w:left w:val="single" w:sz="4" w:space="0" w:color="auto"/>
              <w:bottom w:val="single" w:sz="4" w:space="0" w:color="auto"/>
              <w:right w:val="single" w:sz="4" w:space="0" w:color="auto"/>
            </w:tcBorders>
          </w:tcPr>
          <w:p w14:paraId="4DA8CADE" w14:textId="1C03839D" w:rsidR="00A943B6" w:rsidRPr="00A70141" w:rsidRDefault="00A943B6" w:rsidP="00A943B6">
            <w:pPr>
              <w:pStyle w:val="TAL"/>
              <w:spacing w:before="120" w:after="120"/>
              <w:rPr>
                <w:rFonts w:ascii="Times New Roman" w:hAnsi="Times New Roman"/>
                <w:sz w:val="20"/>
              </w:rPr>
            </w:pPr>
            <w:r w:rsidRPr="00A70141">
              <w:rPr>
                <w:rFonts w:ascii="Times New Roman" w:hAnsi="Times New Roman" w:hint="eastAsia"/>
                <w:sz w:val="20"/>
              </w:rPr>
              <w:t>O</w:t>
            </w:r>
            <w:r w:rsidRPr="00A70141">
              <w:rPr>
                <w:rFonts w:ascii="Times New Roman" w:hAnsi="Times New Roman"/>
                <w:sz w:val="20"/>
              </w:rPr>
              <w:t>ptional with capability siganling</w:t>
            </w:r>
          </w:p>
        </w:tc>
      </w:tr>
      <w:tr w:rsidR="00A943B6" w:rsidRPr="00A70141" w14:paraId="5634B6B2" w14:textId="77777777" w:rsidTr="00A70141">
        <w:tc>
          <w:tcPr>
            <w:tcW w:w="1129" w:type="dxa"/>
            <w:tcBorders>
              <w:top w:val="single" w:sz="4" w:space="0" w:color="auto"/>
              <w:left w:val="single" w:sz="4" w:space="0" w:color="auto"/>
              <w:bottom w:val="single" w:sz="4" w:space="0" w:color="auto"/>
              <w:right w:val="single" w:sz="4" w:space="0" w:color="auto"/>
            </w:tcBorders>
          </w:tcPr>
          <w:p w14:paraId="314DDBCA" w14:textId="77777777" w:rsidR="00A943B6" w:rsidRPr="00A70141" w:rsidRDefault="00A943B6" w:rsidP="00A943B6">
            <w:pPr>
              <w:pStyle w:val="TAL"/>
              <w:spacing w:before="120" w:after="120"/>
              <w:rPr>
                <w:rFonts w:ascii="Times New Roman" w:hAnsi="Times New Roman"/>
                <w:sz w:val="20"/>
              </w:rPr>
            </w:pPr>
            <w:r w:rsidRPr="00A70141">
              <w:rPr>
                <w:rFonts w:ascii="Times New Roman" w:hAnsi="Times New Roman"/>
                <w:sz w:val="20"/>
              </w:rPr>
              <w:t>xx.</w:t>
            </w:r>
          </w:p>
          <w:p w14:paraId="29DA9B01" w14:textId="12F5937A" w:rsidR="00A943B6" w:rsidRPr="00A70141" w:rsidRDefault="00A943B6" w:rsidP="00A943B6">
            <w:pPr>
              <w:pStyle w:val="TAL"/>
              <w:spacing w:before="120" w:after="120"/>
              <w:rPr>
                <w:rFonts w:ascii="Times New Roman" w:hAnsi="Times New Roman"/>
                <w:sz w:val="20"/>
              </w:rPr>
            </w:pPr>
            <w:r w:rsidRPr="00A70141">
              <w:rPr>
                <w:rFonts w:ascii="Times New Roman" w:hAnsi="Times New Roman"/>
                <w:sz w:val="20"/>
              </w:rPr>
              <w:t>NR_ATG</w:t>
            </w:r>
          </w:p>
        </w:tc>
        <w:tc>
          <w:tcPr>
            <w:tcW w:w="709" w:type="dxa"/>
            <w:tcBorders>
              <w:top w:val="single" w:sz="4" w:space="0" w:color="auto"/>
              <w:left w:val="single" w:sz="4" w:space="0" w:color="auto"/>
              <w:bottom w:val="single" w:sz="4" w:space="0" w:color="auto"/>
              <w:right w:val="single" w:sz="4" w:space="0" w:color="auto"/>
            </w:tcBorders>
          </w:tcPr>
          <w:p w14:paraId="42794982" w14:textId="7227608C" w:rsidR="00A943B6" w:rsidRPr="00A70141" w:rsidRDefault="00A943B6" w:rsidP="00A943B6">
            <w:pPr>
              <w:pStyle w:val="TAL"/>
              <w:spacing w:before="120" w:after="120"/>
              <w:rPr>
                <w:rFonts w:ascii="Times New Roman" w:hAnsi="Times New Roman"/>
                <w:sz w:val="20"/>
              </w:rPr>
            </w:pPr>
            <w:r w:rsidRPr="00A70141">
              <w:rPr>
                <w:rFonts w:ascii="Times New Roman" w:hAnsi="Times New Roman"/>
                <w:sz w:val="20"/>
              </w:rPr>
              <w:t>xx-x</w:t>
            </w:r>
          </w:p>
        </w:tc>
        <w:tc>
          <w:tcPr>
            <w:tcW w:w="1701" w:type="dxa"/>
            <w:tcBorders>
              <w:top w:val="single" w:sz="4" w:space="0" w:color="auto"/>
              <w:left w:val="single" w:sz="4" w:space="0" w:color="auto"/>
              <w:bottom w:val="single" w:sz="4" w:space="0" w:color="auto"/>
              <w:right w:val="single" w:sz="4" w:space="0" w:color="auto"/>
            </w:tcBorders>
          </w:tcPr>
          <w:p w14:paraId="4205D964" w14:textId="3ACBA993" w:rsidR="00A943B6" w:rsidRPr="00A70141" w:rsidRDefault="00A943B6" w:rsidP="00A943B6">
            <w:pPr>
              <w:pStyle w:val="TAL"/>
              <w:spacing w:before="120" w:after="120"/>
              <w:rPr>
                <w:rFonts w:ascii="Times New Roman" w:hAnsi="Times New Roman"/>
                <w:sz w:val="20"/>
              </w:rPr>
            </w:pPr>
            <w:r w:rsidRPr="00A70141">
              <w:rPr>
                <w:rFonts w:ascii="Times New Roman" w:hAnsi="Times New Roman"/>
                <w:color w:val="000000"/>
                <w:sz w:val="20"/>
              </w:rPr>
              <w:t>Increasing the number of HARQ processes</w:t>
            </w:r>
          </w:p>
        </w:tc>
        <w:tc>
          <w:tcPr>
            <w:tcW w:w="2977" w:type="dxa"/>
            <w:tcBorders>
              <w:top w:val="single" w:sz="4" w:space="0" w:color="auto"/>
              <w:left w:val="single" w:sz="4" w:space="0" w:color="auto"/>
              <w:bottom w:val="single" w:sz="4" w:space="0" w:color="auto"/>
              <w:right w:val="single" w:sz="4" w:space="0" w:color="auto"/>
            </w:tcBorders>
          </w:tcPr>
          <w:p w14:paraId="7571B102" w14:textId="47166C63" w:rsidR="00A943B6" w:rsidRPr="00A70141" w:rsidRDefault="00A943B6" w:rsidP="00A943B6">
            <w:pPr>
              <w:pStyle w:val="TAL"/>
              <w:numPr>
                <w:ilvl w:val="3"/>
                <w:numId w:val="19"/>
              </w:numPr>
              <w:spacing w:before="120" w:after="120"/>
              <w:ind w:left="0" w:firstLine="0"/>
              <w:rPr>
                <w:rFonts w:ascii="Times New Roman" w:hAnsi="Times New Roman"/>
                <w:sz w:val="20"/>
              </w:rPr>
            </w:pPr>
            <w:r w:rsidRPr="00A70141">
              <w:rPr>
                <w:rFonts w:ascii="Times New Roman" w:hAnsi="Times New Roman"/>
                <w:color w:val="000000"/>
                <w:sz w:val="20"/>
              </w:rPr>
              <w:t>The maximal supported HARQ process number is X for UL and Y for DL</w:t>
            </w:r>
          </w:p>
        </w:tc>
        <w:tc>
          <w:tcPr>
            <w:tcW w:w="1417" w:type="dxa"/>
            <w:tcBorders>
              <w:top w:val="single" w:sz="4" w:space="0" w:color="auto"/>
              <w:left w:val="single" w:sz="4" w:space="0" w:color="auto"/>
              <w:bottom w:val="single" w:sz="4" w:space="0" w:color="auto"/>
              <w:right w:val="single" w:sz="4" w:space="0" w:color="auto"/>
            </w:tcBorders>
          </w:tcPr>
          <w:p w14:paraId="25A09835" w14:textId="77777777" w:rsidR="00A943B6" w:rsidRPr="00A70141" w:rsidRDefault="00A943B6" w:rsidP="00A943B6">
            <w:pPr>
              <w:pStyle w:val="TAL"/>
              <w:spacing w:before="120" w:after="120"/>
              <w:rPr>
                <w:rFonts w:ascii="Times New Roman" w:hAnsi="Times New Roman"/>
                <w:sz w:val="20"/>
              </w:rPr>
            </w:pPr>
          </w:p>
        </w:tc>
        <w:tc>
          <w:tcPr>
            <w:tcW w:w="2552" w:type="dxa"/>
            <w:tcBorders>
              <w:top w:val="single" w:sz="4" w:space="0" w:color="auto"/>
              <w:left w:val="single" w:sz="4" w:space="0" w:color="auto"/>
              <w:bottom w:val="single" w:sz="4" w:space="0" w:color="auto"/>
              <w:right w:val="single" w:sz="4" w:space="0" w:color="auto"/>
            </w:tcBorders>
          </w:tcPr>
          <w:p w14:paraId="1CFBF41C" w14:textId="4BB76576" w:rsidR="00A943B6" w:rsidRPr="005834B0" w:rsidRDefault="00A943B6" w:rsidP="00A943B6">
            <w:pPr>
              <w:pStyle w:val="TAL"/>
              <w:spacing w:before="120" w:after="120"/>
              <w:rPr>
                <w:rFonts w:ascii="Times New Roman" w:hAnsi="Times New Roman"/>
                <w:i/>
                <w:iCs/>
                <w:noProof/>
                <w:color w:val="FF0000"/>
                <w:sz w:val="20"/>
                <w:highlight w:val="yellow"/>
                <w:lang w:eastAsia="en-GB"/>
              </w:rPr>
            </w:pPr>
            <w:r w:rsidRPr="005834B0">
              <w:rPr>
                <w:rFonts w:ascii="Times New Roman" w:hAnsi="Times New Roman"/>
                <w:i/>
                <w:iCs/>
                <w:noProof/>
                <w:color w:val="FF0000"/>
                <w:sz w:val="20"/>
                <w:lang w:eastAsia="en-GB"/>
              </w:rPr>
              <w:t>maxHARQ-ProcessNumberATG-r18</w:t>
            </w:r>
          </w:p>
        </w:tc>
        <w:tc>
          <w:tcPr>
            <w:tcW w:w="1843" w:type="dxa"/>
            <w:tcBorders>
              <w:top w:val="single" w:sz="4" w:space="0" w:color="auto"/>
              <w:left w:val="single" w:sz="4" w:space="0" w:color="auto"/>
              <w:bottom w:val="single" w:sz="4" w:space="0" w:color="auto"/>
              <w:right w:val="single" w:sz="4" w:space="0" w:color="auto"/>
            </w:tcBorders>
          </w:tcPr>
          <w:p w14:paraId="08D09B42" w14:textId="78B34BEE" w:rsidR="009C09C4" w:rsidRPr="005834B0" w:rsidRDefault="009C09C4" w:rsidP="00A943B6">
            <w:pPr>
              <w:pStyle w:val="TAL"/>
              <w:spacing w:before="120" w:after="120"/>
              <w:rPr>
                <w:rFonts w:ascii="Times New Roman" w:hAnsi="Times New Roman"/>
                <w:i/>
                <w:iCs/>
                <w:noProof/>
                <w:color w:val="FF0000"/>
                <w:sz w:val="20"/>
                <w:highlight w:val="yellow"/>
                <w:lang w:eastAsia="en-GB"/>
              </w:rPr>
            </w:pPr>
            <w:r w:rsidRPr="005834B0">
              <w:rPr>
                <w:rFonts w:ascii="Times New Roman" w:hAnsi="Times New Roman"/>
                <w:i/>
                <w:iCs/>
                <w:color w:val="FF0000"/>
                <w:sz w:val="20"/>
              </w:rPr>
              <w:t>Phy-ParametersFR1</w:t>
            </w:r>
          </w:p>
        </w:tc>
        <w:tc>
          <w:tcPr>
            <w:tcW w:w="1701" w:type="dxa"/>
            <w:tcBorders>
              <w:top w:val="single" w:sz="4" w:space="0" w:color="auto"/>
              <w:left w:val="single" w:sz="4" w:space="0" w:color="auto"/>
              <w:bottom w:val="single" w:sz="4" w:space="0" w:color="auto"/>
              <w:right w:val="single" w:sz="4" w:space="0" w:color="auto"/>
            </w:tcBorders>
          </w:tcPr>
          <w:p w14:paraId="45E0F896" w14:textId="00133231" w:rsidR="00A943B6" w:rsidRPr="00A70141" w:rsidRDefault="00A943B6" w:rsidP="00A943B6">
            <w:pPr>
              <w:pStyle w:val="TAL"/>
              <w:spacing w:before="120" w:after="120"/>
              <w:rPr>
                <w:rFonts w:ascii="Times New Roman" w:hAnsi="Times New Roman"/>
                <w:sz w:val="20"/>
              </w:rPr>
            </w:pPr>
            <w:r w:rsidRPr="00A70141">
              <w:rPr>
                <w:rFonts w:ascii="Times New Roman" w:hAnsi="Times New Roman"/>
                <w:color w:val="000000"/>
                <w:sz w:val="20"/>
              </w:rPr>
              <w:t>No</w:t>
            </w:r>
          </w:p>
        </w:tc>
        <w:tc>
          <w:tcPr>
            <w:tcW w:w="1559" w:type="dxa"/>
            <w:tcBorders>
              <w:top w:val="single" w:sz="4" w:space="0" w:color="auto"/>
              <w:left w:val="single" w:sz="4" w:space="0" w:color="auto"/>
              <w:bottom w:val="single" w:sz="4" w:space="0" w:color="auto"/>
              <w:right w:val="single" w:sz="4" w:space="0" w:color="auto"/>
            </w:tcBorders>
          </w:tcPr>
          <w:p w14:paraId="62AD6284" w14:textId="7B792A7C" w:rsidR="00A943B6" w:rsidRPr="00A70141" w:rsidRDefault="00A943B6" w:rsidP="00A943B6">
            <w:pPr>
              <w:pStyle w:val="TAL"/>
              <w:spacing w:before="120" w:after="120"/>
              <w:rPr>
                <w:rFonts w:ascii="Times New Roman" w:hAnsi="Times New Roman"/>
                <w:sz w:val="20"/>
              </w:rPr>
            </w:pPr>
            <w:r w:rsidRPr="00A70141">
              <w:rPr>
                <w:rFonts w:ascii="Times New Roman" w:hAnsi="Times New Roman"/>
                <w:color w:val="000000"/>
                <w:sz w:val="20"/>
              </w:rPr>
              <w:t>FR1 only</w:t>
            </w:r>
          </w:p>
        </w:tc>
        <w:tc>
          <w:tcPr>
            <w:tcW w:w="1276" w:type="dxa"/>
            <w:tcBorders>
              <w:top w:val="single" w:sz="4" w:space="0" w:color="auto"/>
              <w:left w:val="single" w:sz="4" w:space="0" w:color="auto"/>
              <w:bottom w:val="single" w:sz="4" w:space="0" w:color="auto"/>
              <w:right w:val="single" w:sz="4" w:space="0" w:color="auto"/>
            </w:tcBorders>
          </w:tcPr>
          <w:p w14:paraId="30A93B7E" w14:textId="77777777" w:rsidR="00A943B6" w:rsidRPr="00A70141" w:rsidRDefault="00A943B6" w:rsidP="00A943B6">
            <w:pPr>
              <w:pStyle w:val="TAL"/>
              <w:spacing w:before="120" w:after="120"/>
              <w:rPr>
                <w:rFonts w:ascii="Times New Roman" w:hAnsi="Times New Roman"/>
                <w:sz w:val="20"/>
              </w:rPr>
            </w:pPr>
          </w:p>
        </w:tc>
        <w:tc>
          <w:tcPr>
            <w:tcW w:w="2835" w:type="dxa"/>
            <w:tcBorders>
              <w:top w:val="single" w:sz="4" w:space="0" w:color="auto"/>
              <w:left w:val="single" w:sz="4" w:space="0" w:color="auto"/>
              <w:bottom w:val="single" w:sz="4" w:space="0" w:color="auto"/>
              <w:right w:val="single" w:sz="4" w:space="0" w:color="auto"/>
            </w:tcBorders>
          </w:tcPr>
          <w:p w14:paraId="1231E2BF" w14:textId="77777777" w:rsidR="00A943B6" w:rsidRPr="00A70141" w:rsidRDefault="00A943B6" w:rsidP="00A943B6">
            <w:pPr>
              <w:keepNext/>
              <w:keepLines/>
              <w:rPr>
                <w:rFonts w:ascii="Times New Roman" w:hAnsi="Times New Roman" w:cs="Times New Roman"/>
                <w:color w:val="000000"/>
                <w:sz w:val="20"/>
                <w:szCs w:val="20"/>
              </w:rPr>
            </w:pPr>
            <w:r w:rsidRPr="00A70141">
              <w:rPr>
                <w:rFonts w:ascii="Times New Roman" w:hAnsi="Times New Roman" w:cs="Times New Roman"/>
                <w:color w:val="000000"/>
                <w:sz w:val="20"/>
                <w:szCs w:val="20"/>
              </w:rPr>
              <w:t>Optional with capability signalling</w:t>
            </w:r>
          </w:p>
          <w:p w14:paraId="675C2CEF" w14:textId="77777777" w:rsidR="00A943B6" w:rsidRPr="00A70141" w:rsidRDefault="00A943B6" w:rsidP="00A943B6">
            <w:pPr>
              <w:pStyle w:val="TAL"/>
              <w:spacing w:before="120" w:after="120"/>
              <w:rPr>
                <w:rFonts w:ascii="Times New Roman" w:hAnsi="Times New Roman"/>
                <w:sz w:val="20"/>
              </w:rPr>
            </w:pPr>
          </w:p>
        </w:tc>
      </w:tr>
      <w:tr w:rsidR="00A943B6" w:rsidRPr="00A70141" w14:paraId="50CAF635" w14:textId="77777777" w:rsidTr="00A70141">
        <w:tc>
          <w:tcPr>
            <w:tcW w:w="1129" w:type="dxa"/>
            <w:tcBorders>
              <w:top w:val="single" w:sz="4" w:space="0" w:color="auto"/>
              <w:left w:val="single" w:sz="4" w:space="0" w:color="auto"/>
              <w:bottom w:val="single" w:sz="4" w:space="0" w:color="auto"/>
              <w:right w:val="single" w:sz="4" w:space="0" w:color="auto"/>
            </w:tcBorders>
          </w:tcPr>
          <w:p w14:paraId="6BAFC1A9" w14:textId="77777777" w:rsidR="00A943B6" w:rsidRPr="00A70141" w:rsidRDefault="00A943B6" w:rsidP="00A943B6">
            <w:pPr>
              <w:pStyle w:val="TAL"/>
              <w:spacing w:before="120" w:after="120"/>
              <w:rPr>
                <w:rFonts w:ascii="Times New Roman" w:hAnsi="Times New Roman"/>
                <w:sz w:val="20"/>
              </w:rPr>
            </w:pPr>
            <w:r w:rsidRPr="00A70141">
              <w:rPr>
                <w:rFonts w:ascii="Times New Roman" w:hAnsi="Times New Roman"/>
                <w:sz w:val="20"/>
              </w:rPr>
              <w:t>xx.</w:t>
            </w:r>
          </w:p>
          <w:p w14:paraId="14262303" w14:textId="50A55253" w:rsidR="00A943B6" w:rsidRPr="00A70141" w:rsidRDefault="00A943B6" w:rsidP="00A943B6">
            <w:pPr>
              <w:pStyle w:val="TAL"/>
              <w:spacing w:before="120" w:after="120"/>
              <w:rPr>
                <w:rFonts w:ascii="Times New Roman" w:hAnsi="Times New Roman"/>
                <w:sz w:val="20"/>
              </w:rPr>
            </w:pPr>
            <w:r w:rsidRPr="00A70141">
              <w:rPr>
                <w:rFonts w:ascii="Times New Roman" w:hAnsi="Times New Roman"/>
                <w:sz w:val="20"/>
              </w:rPr>
              <w:t>NR_ATG</w:t>
            </w:r>
          </w:p>
        </w:tc>
        <w:tc>
          <w:tcPr>
            <w:tcW w:w="709" w:type="dxa"/>
            <w:tcBorders>
              <w:top w:val="single" w:sz="4" w:space="0" w:color="auto"/>
              <w:left w:val="single" w:sz="4" w:space="0" w:color="auto"/>
              <w:bottom w:val="single" w:sz="4" w:space="0" w:color="auto"/>
              <w:right w:val="single" w:sz="4" w:space="0" w:color="auto"/>
            </w:tcBorders>
          </w:tcPr>
          <w:p w14:paraId="1619E031" w14:textId="71542393" w:rsidR="00A943B6" w:rsidRPr="00A70141" w:rsidRDefault="00A943B6" w:rsidP="00A943B6">
            <w:pPr>
              <w:pStyle w:val="TAL"/>
              <w:spacing w:before="120" w:after="120"/>
              <w:rPr>
                <w:rFonts w:ascii="Times New Roman" w:hAnsi="Times New Roman"/>
                <w:sz w:val="20"/>
              </w:rPr>
            </w:pPr>
            <w:r w:rsidRPr="00A70141">
              <w:rPr>
                <w:rFonts w:ascii="Times New Roman" w:hAnsi="Times New Roman"/>
                <w:sz w:val="20"/>
              </w:rPr>
              <w:t>xx-x</w:t>
            </w:r>
          </w:p>
        </w:tc>
        <w:tc>
          <w:tcPr>
            <w:tcW w:w="1701" w:type="dxa"/>
            <w:tcBorders>
              <w:top w:val="single" w:sz="4" w:space="0" w:color="auto"/>
              <w:left w:val="single" w:sz="4" w:space="0" w:color="auto"/>
              <w:bottom w:val="single" w:sz="4" w:space="0" w:color="auto"/>
              <w:right w:val="single" w:sz="4" w:space="0" w:color="auto"/>
            </w:tcBorders>
          </w:tcPr>
          <w:p w14:paraId="79BA70D1" w14:textId="4CE460DF" w:rsidR="00A943B6" w:rsidRPr="00A70141" w:rsidRDefault="00A943B6" w:rsidP="00A943B6">
            <w:pPr>
              <w:pStyle w:val="TAL"/>
              <w:spacing w:before="120" w:after="120"/>
              <w:rPr>
                <w:rFonts w:ascii="Times New Roman" w:hAnsi="Times New Roman"/>
                <w:sz w:val="20"/>
              </w:rPr>
            </w:pPr>
            <w:r w:rsidRPr="00A70141">
              <w:rPr>
                <w:rFonts w:ascii="Times New Roman" w:hAnsi="Times New Roman"/>
                <w:color w:val="000000"/>
                <w:sz w:val="20"/>
              </w:rPr>
              <w:t>K1 range extension</w:t>
            </w:r>
          </w:p>
        </w:tc>
        <w:tc>
          <w:tcPr>
            <w:tcW w:w="2977" w:type="dxa"/>
            <w:tcBorders>
              <w:top w:val="single" w:sz="4" w:space="0" w:color="auto"/>
              <w:left w:val="single" w:sz="4" w:space="0" w:color="auto"/>
              <w:bottom w:val="single" w:sz="4" w:space="0" w:color="auto"/>
              <w:right w:val="single" w:sz="4" w:space="0" w:color="auto"/>
            </w:tcBorders>
          </w:tcPr>
          <w:p w14:paraId="00870AE6" w14:textId="1DD2646F" w:rsidR="00A943B6" w:rsidRPr="00A70141" w:rsidRDefault="00A943B6" w:rsidP="00A943B6">
            <w:pPr>
              <w:pStyle w:val="TAL"/>
              <w:numPr>
                <w:ilvl w:val="3"/>
                <w:numId w:val="20"/>
              </w:numPr>
              <w:spacing w:before="120" w:after="120"/>
              <w:ind w:left="0" w:firstLine="0"/>
              <w:rPr>
                <w:rFonts w:ascii="Times New Roman" w:hAnsi="Times New Roman"/>
                <w:sz w:val="20"/>
              </w:rPr>
            </w:pPr>
            <w:r w:rsidRPr="00A70141">
              <w:rPr>
                <w:rFonts w:ascii="Times New Roman" w:hAnsi="Times New Roman"/>
                <w:color w:val="000000"/>
                <w:sz w:val="20"/>
              </w:rPr>
              <w:t>Support of extended K1 value range of (0..31) for unpaired spectrum</w:t>
            </w:r>
          </w:p>
        </w:tc>
        <w:tc>
          <w:tcPr>
            <w:tcW w:w="1417" w:type="dxa"/>
            <w:tcBorders>
              <w:top w:val="single" w:sz="4" w:space="0" w:color="auto"/>
              <w:left w:val="single" w:sz="4" w:space="0" w:color="auto"/>
              <w:bottom w:val="single" w:sz="4" w:space="0" w:color="auto"/>
              <w:right w:val="single" w:sz="4" w:space="0" w:color="auto"/>
            </w:tcBorders>
          </w:tcPr>
          <w:p w14:paraId="57B9CE87" w14:textId="77777777" w:rsidR="00A943B6" w:rsidRPr="00A70141" w:rsidRDefault="00A943B6" w:rsidP="00A943B6">
            <w:pPr>
              <w:pStyle w:val="TAL"/>
              <w:spacing w:before="120" w:after="120"/>
              <w:rPr>
                <w:rFonts w:ascii="Times New Roman" w:hAnsi="Times New Roman"/>
                <w:sz w:val="20"/>
              </w:rPr>
            </w:pPr>
          </w:p>
        </w:tc>
        <w:tc>
          <w:tcPr>
            <w:tcW w:w="2552" w:type="dxa"/>
            <w:tcBorders>
              <w:top w:val="single" w:sz="4" w:space="0" w:color="auto"/>
              <w:left w:val="single" w:sz="4" w:space="0" w:color="auto"/>
              <w:bottom w:val="single" w:sz="4" w:space="0" w:color="auto"/>
              <w:right w:val="single" w:sz="4" w:space="0" w:color="auto"/>
            </w:tcBorders>
          </w:tcPr>
          <w:p w14:paraId="0E34FAFF" w14:textId="70FF3B81" w:rsidR="00A943B6" w:rsidRPr="005834B0" w:rsidRDefault="00A943B6" w:rsidP="00A943B6">
            <w:pPr>
              <w:pStyle w:val="TAL"/>
              <w:spacing w:before="120" w:after="120"/>
              <w:rPr>
                <w:rFonts w:ascii="Times New Roman" w:hAnsi="Times New Roman"/>
                <w:i/>
                <w:iCs/>
                <w:noProof/>
                <w:color w:val="FF0000"/>
                <w:sz w:val="20"/>
                <w:highlight w:val="yellow"/>
                <w:lang w:eastAsia="en-GB"/>
              </w:rPr>
            </w:pPr>
            <w:r w:rsidRPr="005834B0">
              <w:rPr>
                <w:rFonts w:ascii="Times New Roman" w:hAnsi="Times New Roman"/>
                <w:i/>
                <w:iCs/>
                <w:noProof/>
                <w:color w:val="FF0000"/>
                <w:sz w:val="20"/>
                <w:lang w:eastAsia="en-GB"/>
              </w:rPr>
              <w:t>k1-RangeExtensionATG-r18</w:t>
            </w:r>
          </w:p>
        </w:tc>
        <w:tc>
          <w:tcPr>
            <w:tcW w:w="1843" w:type="dxa"/>
            <w:tcBorders>
              <w:top w:val="single" w:sz="4" w:space="0" w:color="auto"/>
              <w:left w:val="single" w:sz="4" w:space="0" w:color="auto"/>
              <w:bottom w:val="single" w:sz="4" w:space="0" w:color="auto"/>
              <w:right w:val="single" w:sz="4" w:space="0" w:color="auto"/>
            </w:tcBorders>
          </w:tcPr>
          <w:p w14:paraId="218DC16F" w14:textId="3316F8C1" w:rsidR="009C09C4" w:rsidRPr="005834B0" w:rsidRDefault="009C09C4" w:rsidP="00A943B6">
            <w:pPr>
              <w:pStyle w:val="TAL"/>
              <w:spacing w:before="120" w:after="120"/>
              <w:rPr>
                <w:rFonts w:ascii="Times New Roman" w:hAnsi="Times New Roman"/>
                <w:i/>
                <w:iCs/>
                <w:noProof/>
                <w:color w:val="FF0000"/>
                <w:sz w:val="20"/>
                <w:highlight w:val="yellow"/>
                <w:lang w:eastAsia="en-GB"/>
              </w:rPr>
            </w:pPr>
            <w:r w:rsidRPr="005834B0">
              <w:rPr>
                <w:rFonts w:ascii="Times New Roman" w:hAnsi="Times New Roman"/>
                <w:i/>
                <w:iCs/>
                <w:color w:val="FF0000"/>
                <w:sz w:val="20"/>
              </w:rPr>
              <w:t>Phy-ParametersFR1</w:t>
            </w:r>
          </w:p>
        </w:tc>
        <w:tc>
          <w:tcPr>
            <w:tcW w:w="1701" w:type="dxa"/>
            <w:tcBorders>
              <w:top w:val="single" w:sz="4" w:space="0" w:color="auto"/>
              <w:left w:val="single" w:sz="4" w:space="0" w:color="auto"/>
              <w:bottom w:val="single" w:sz="4" w:space="0" w:color="auto"/>
              <w:right w:val="single" w:sz="4" w:space="0" w:color="auto"/>
            </w:tcBorders>
          </w:tcPr>
          <w:p w14:paraId="56428D06" w14:textId="725FC916" w:rsidR="00A943B6" w:rsidRPr="00A70141" w:rsidRDefault="00A943B6" w:rsidP="00A943B6">
            <w:pPr>
              <w:pStyle w:val="TAL"/>
              <w:spacing w:before="120" w:after="120"/>
              <w:rPr>
                <w:rFonts w:ascii="Times New Roman" w:hAnsi="Times New Roman"/>
                <w:sz w:val="20"/>
              </w:rPr>
            </w:pPr>
            <w:r w:rsidRPr="00A70141">
              <w:rPr>
                <w:rFonts w:ascii="Times New Roman" w:hAnsi="Times New Roman"/>
                <w:color w:val="000000"/>
                <w:sz w:val="20"/>
              </w:rPr>
              <w:t>TDD only</w:t>
            </w:r>
          </w:p>
        </w:tc>
        <w:tc>
          <w:tcPr>
            <w:tcW w:w="1559" w:type="dxa"/>
            <w:tcBorders>
              <w:top w:val="single" w:sz="4" w:space="0" w:color="auto"/>
              <w:left w:val="single" w:sz="4" w:space="0" w:color="auto"/>
              <w:bottom w:val="single" w:sz="4" w:space="0" w:color="auto"/>
              <w:right w:val="single" w:sz="4" w:space="0" w:color="auto"/>
            </w:tcBorders>
          </w:tcPr>
          <w:p w14:paraId="522906E1" w14:textId="5FB24A26" w:rsidR="00A943B6" w:rsidRPr="00A70141" w:rsidRDefault="00A943B6" w:rsidP="00A943B6">
            <w:pPr>
              <w:pStyle w:val="TAL"/>
              <w:spacing w:before="120" w:after="120"/>
              <w:rPr>
                <w:rFonts w:ascii="Times New Roman" w:hAnsi="Times New Roman"/>
                <w:sz w:val="20"/>
              </w:rPr>
            </w:pPr>
            <w:r w:rsidRPr="00A70141">
              <w:rPr>
                <w:rFonts w:ascii="Times New Roman" w:hAnsi="Times New Roman"/>
                <w:color w:val="000000"/>
                <w:sz w:val="20"/>
              </w:rPr>
              <w:t>FR1 only</w:t>
            </w:r>
          </w:p>
        </w:tc>
        <w:tc>
          <w:tcPr>
            <w:tcW w:w="1276" w:type="dxa"/>
            <w:tcBorders>
              <w:top w:val="single" w:sz="4" w:space="0" w:color="auto"/>
              <w:left w:val="single" w:sz="4" w:space="0" w:color="auto"/>
              <w:bottom w:val="single" w:sz="4" w:space="0" w:color="auto"/>
              <w:right w:val="single" w:sz="4" w:space="0" w:color="auto"/>
            </w:tcBorders>
          </w:tcPr>
          <w:p w14:paraId="0AF9CE91" w14:textId="77777777" w:rsidR="00A943B6" w:rsidRPr="00A70141" w:rsidRDefault="00A943B6" w:rsidP="00A943B6">
            <w:pPr>
              <w:pStyle w:val="TAL"/>
              <w:spacing w:before="120" w:after="120"/>
              <w:rPr>
                <w:rFonts w:ascii="Times New Roman" w:hAnsi="Times New Roman"/>
                <w:sz w:val="20"/>
              </w:rPr>
            </w:pPr>
          </w:p>
        </w:tc>
        <w:tc>
          <w:tcPr>
            <w:tcW w:w="2835" w:type="dxa"/>
            <w:tcBorders>
              <w:top w:val="single" w:sz="4" w:space="0" w:color="auto"/>
              <w:left w:val="single" w:sz="4" w:space="0" w:color="auto"/>
              <w:bottom w:val="single" w:sz="4" w:space="0" w:color="auto"/>
              <w:right w:val="single" w:sz="4" w:space="0" w:color="auto"/>
            </w:tcBorders>
          </w:tcPr>
          <w:p w14:paraId="2C764893" w14:textId="1ED465BF" w:rsidR="00A943B6" w:rsidRPr="00A70141" w:rsidRDefault="00A943B6" w:rsidP="00A943B6">
            <w:pPr>
              <w:pStyle w:val="TAL"/>
              <w:spacing w:before="120" w:after="120"/>
              <w:rPr>
                <w:rFonts w:ascii="Times New Roman" w:hAnsi="Times New Roman"/>
                <w:sz w:val="20"/>
              </w:rPr>
            </w:pPr>
            <w:r w:rsidRPr="00A70141">
              <w:rPr>
                <w:rFonts w:ascii="Times New Roman" w:hAnsi="Times New Roman"/>
                <w:color w:val="000000"/>
                <w:sz w:val="20"/>
              </w:rPr>
              <w:t>Optional with capability signalling</w:t>
            </w:r>
          </w:p>
        </w:tc>
      </w:tr>
    </w:tbl>
    <w:p w14:paraId="7BA19260" w14:textId="77777777" w:rsidR="005834B0" w:rsidRDefault="005834B0" w:rsidP="00531A28">
      <w:pPr>
        <w:spacing w:beforeLines="50" w:before="120" w:afterLines="50" w:after="120"/>
        <w:rPr>
          <w:rFonts w:ascii="Times New Roman" w:hAnsi="Times New Roman" w:cs="Times New Roman"/>
          <w:bCs/>
          <w:iCs/>
          <w:sz w:val="20"/>
          <w:szCs w:val="20"/>
        </w:rPr>
        <w:sectPr w:rsidR="005834B0" w:rsidSect="00D66A13">
          <w:pgSz w:w="23811" w:h="16838" w:orient="landscape" w:code="8"/>
          <w:pgMar w:top="1134" w:right="1417" w:bottom="1134" w:left="1134" w:header="720" w:footer="720" w:gutter="0"/>
          <w:cols w:space="720"/>
          <w:docGrid w:linePitch="326"/>
        </w:sectPr>
      </w:pPr>
    </w:p>
    <w:bookmarkEnd w:id="5"/>
    <w:p w14:paraId="2A9AF851" w14:textId="044C41A0" w:rsidR="002B52AC" w:rsidRDefault="002B52AC" w:rsidP="002B52AC">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lastRenderedPageBreak/>
        <w:t>Conclusions</w:t>
      </w:r>
    </w:p>
    <w:p w14:paraId="234543F0" w14:textId="7E2A626B" w:rsidR="006A3B9B" w:rsidRDefault="00000000" w:rsidP="002430D7">
      <w:pPr>
        <w:pStyle w:val="aff9"/>
        <w:adjustRightInd w:val="0"/>
        <w:snapToGrid w:val="0"/>
        <w:spacing w:beforeLines="0" w:afterLines="0"/>
        <w:ind w:firstLineChars="0" w:firstLine="0"/>
        <w:jc w:val="both"/>
        <w:rPr>
          <w:rFonts w:cs="Times New Roman"/>
          <w:bCs/>
          <w:iCs/>
          <w:sz w:val="20"/>
          <w:szCs w:val="20"/>
        </w:rPr>
      </w:pPr>
      <w:r>
        <w:rPr>
          <w:rFonts w:cs="Times New Roman"/>
          <w:sz w:val="20"/>
          <w:szCs w:val="20"/>
          <w:lang w:val="en-GB"/>
        </w:rPr>
        <w:t xml:space="preserve">In this contribution, we </w:t>
      </w:r>
      <w:r>
        <w:rPr>
          <w:rFonts w:cs="Times New Roman"/>
          <w:sz w:val="20"/>
          <w:szCs w:val="20"/>
        </w:rPr>
        <w:t xml:space="preserve">mainly </w:t>
      </w:r>
      <w:r>
        <w:rPr>
          <w:rFonts w:cs="Times New Roman"/>
          <w:sz w:val="20"/>
          <w:szCs w:val="20"/>
          <w:lang w:val="en-GB"/>
        </w:rPr>
        <w:t xml:space="preserve">share </w:t>
      </w:r>
      <w:r>
        <w:rPr>
          <w:rFonts w:eastAsia="MS Mincho" w:cs="Times New Roman"/>
          <w:sz w:val="20"/>
          <w:szCs w:val="20"/>
          <w:lang w:eastAsia="ja-JP"/>
        </w:rPr>
        <w:t xml:space="preserve">our views </w:t>
      </w:r>
      <w:r>
        <w:rPr>
          <w:rFonts w:cs="Times New Roman"/>
          <w:bCs/>
          <w:iCs/>
          <w:sz w:val="20"/>
          <w:szCs w:val="20"/>
        </w:rPr>
        <w:t xml:space="preserve">on </w:t>
      </w:r>
      <w:r w:rsidR="00A70141">
        <w:rPr>
          <w:rFonts w:cs="Times New Roman"/>
          <w:bCs/>
          <w:iCs/>
          <w:sz w:val="20"/>
          <w:szCs w:val="20"/>
        </w:rPr>
        <w:t>introducing new Layer-1</w:t>
      </w:r>
      <w:r w:rsidR="00A30A32">
        <w:rPr>
          <w:rFonts w:cs="Times New Roman"/>
          <w:bCs/>
          <w:iCs/>
          <w:sz w:val="20"/>
          <w:szCs w:val="20"/>
        </w:rPr>
        <w:t xml:space="preserve"> </w:t>
      </w:r>
      <w:r w:rsidR="00A30A32" w:rsidRPr="00A30A32">
        <w:rPr>
          <w:rFonts w:cs="Times New Roman"/>
          <w:bCs/>
          <w:iCs/>
          <w:sz w:val="20"/>
          <w:szCs w:val="20"/>
        </w:rPr>
        <w:t>UE features for Rel-18 NR ATG</w:t>
      </w:r>
      <w:r>
        <w:rPr>
          <w:rFonts w:cs="Times New Roman"/>
          <w:bCs/>
          <w:iCs/>
          <w:sz w:val="20"/>
          <w:szCs w:val="20"/>
        </w:rPr>
        <w:t>. The proposals are summarized as follows.</w:t>
      </w:r>
    </w:p>
    <w:p w14:paraId="5413610A" w14:textId="77777777" w:rsidR="005F1169" w:rsidRPr="005F1169" w:rsidRDefault="005F1169" w:rsidP="005F1169">
      <w:pPr>
        <w:adjustRightInd w:val="0"/>
        <w:snapToGrid w:val="0"/>
        <w:spacing w:beforeLines="50" w:before="120" w:afterLines="50" w:after="120"/>
        <w:rPr>
          <w:rFonts w:ascii="Times New Roman" w:hAnsi="Times New Roman" w:cs="Times New Roman"/>
          <w:b/>
          <w:iCs/>
          <w:sz w:val="20"/>
          <w:szCs w:val="20"/>
        </w:rPr>
      </w:pPr>
      <w:r w:rsidRPr="003B14BD">
        <w:rPr>
          <w:rFonts w:ascii="Times New Roman" w:hAnsi="Times New Roman" w:cs="Times New Roman"/>
          <w:b/>
          <w:iCs/>
          <w:sz w:val="20"/>
          <w:szCs w:val="20"/>
        </w:rPr>
        <w:t>Proposal 1</w:t>
      </w:r>
      <w:r>
        <w:rPr>
          <w:rFonts w:ascii="Times New Roman" w:hAnsi="Times New Roman" w:cs="Times New Roman"/>
          <w:b/>
          <w:iCs/>
          <w:sz w:val="20"/>
          <w:szCs w:val="20"/>
        </w:rPr>
        <w:t xml:space="preserve">: </w:t>
      </w:r>
      <w:r w:rsidRPr="003B14BD">
        <w:rPr>
          <w:rFonts w:ascii="Times New Roman" w:hAnsi="Times New Roman" w:cs="Times New Roman"/>
          <w:b/>
          <w:iCs/>
          <w:sz w:val="20"/>
          <w:szCs w:val="20"/>
        </w:rPr>
        <w:t xml:space="preserve">From RAN1’s perspective, </w:t>
      </w:r>
      <w:r>
        <w:rPr>
          <w:rFonts w:ascii="Times New Roman" w:hAnsi="Times New Roman" w:cs="Times New Roman"/>
          <w:b/>
          <w:iCs/>
          <w:sz w:val="20"/>
          <w:szCs w:val="20"/>
        </w:rPr>
        <w:t xml:space="preserve">the new Layer-1 ATG UE features achieved in RAN4 </w:t>
      </w:r>
      <w:r w:rsidRPr="003B14BD">
        <w:rPr>
          <w:rFonts w:ascii="Times New Roman" w:hAnsi="Times New Roman" w:cs="Times New Roman"/>
          <w:b/>
          <w:iCs/>
          <w:sz w:val="20"/>
          <w:szCs w:val="20"/>
        </w:rPr>
        <w:t xml:space="preserve">can be </w:t>
      </w:r>
      <w:r>
        <w:rPr>
          <w:rFonts w:ascii="Times New Roman" w:hAnsi="Times New Roman" w:cs="Times New Roman"/>
          <w:b/>
          <w:iCs/>
          <w:sz w:val="20"/>
          <w:szCs w:val="20"/>
        </w:rPr>
        <w:t>introduce</w:t>
      </w:r>
      <w:r w:rsidRPr="003B14BD">
        <w:rPr>
          <w:rFonts w:ascii="Times New Roman" w:hAnsi="Times New Roman" w:cs="Times New Roman"/>
          <w:b/>
          <w:iCs/>
          <w:sz w:val="20"/>
          <w:szCs w:val="20"/>
        </w:rPr>
        <w:t xml:space="preserve">d </w:t>
      </w:r>
      <w:r>
        <w:rPr>
          <w:rFonts w:ascii="Times New Roman" w:hAnsi="Times New Roman" w:cs="Times New Roman"/>
          <w:b/>
          <w:iCs/>
          <w:sz w:val="20"/>
          <w:szCs w:val="20"/>
        </w:rPr>
        <w:t xml:space="preserve">into Rel-18 RAN1 UE feature list </w:t>
      </w:r>
      <w:r w:rsidRPr="003B14BD">
        <w:rPr>
          <w:rFonts w:ascii="Times New Roman" w:hAnsi="Times New Roman" w:cs="Times New Roman"/>
          <w:b/>
          <w:iCs/>
          <w:sz w:val="20"/>
          <w:szCs w:val="20"/>
        </w:rPr>
        <w:t>for Rel-18 NR ATG.</w:t>
      </w:r>
    </w:p>
    <w:p w14:paraId="55C61C3C" w14:textId="77777777" w:rsidR="005F1169" w:rsidRDefault="005F1169" w:rsidP="005F1169">
      <w:pPr>
        <w:adjustRightInd w:val="0"/>
        <w:snapToGrid w:val="0"/>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 xml:space="preserve">Proposal 2: Introduce new feature groups of </w:t>
      </w:r>
      <w:r w:rsidRPr="00D401CA">
        <w:rPr>
          <w:rFonts w:ascii="Times New Roman" w:hAnsi="Times New Roman" w:cs="Times New Roman" w:hint="eastAsia"/>
          <w:b/>
          <w:iCs/>
          <w:sz w:val="20"/>
          <w:szCs w:val="20"/>
        </w:rPr>
        <w:t>‘</w:t>
      </w:r>
      <w:r w:rsidRPr="00D401CA">
        <w:rPr>
          <w:rFonts w:ascii="Times New Roman" w:hAnsi="Times New Roman" w:cs="Times New Roman"/>
          <w:b/>
          <w:iCs/>
          <w:sz w:val="20"/>
          <w:szCs w:val="20"/>
        </w:rPr>
        <w:t>Uplink Time and Frequency pre-compensation and timing relationship enhancements’, ‘UE reporting of TA information’, ‘Increasing the number of HARQ processes’ and ‘K1 range extension’</w:t>
      </w:r>
      <w:r>
        <w:rPr>
          <w:rFonts w:ascii="Times New Roman" w:hAnsi="Times New Roman" w:cs="Times New Roman"/>
          <w:b/>
          <w:iCs/>
          <w:sz w:val="20"/>
          <w:szCs w:val="20"/>
        </w:rPr>
        <w:t xml:space="preserve"> for ATG scenarios. The details of ATG UE feature listed in Table 1 are proposed to be captured. </w:t>
      </w:r>
    </w:p>
    <w:p w14:paraId="48C694DE" w14:textId="77777777" w:rsidR="00992377" w:rsidRPr="00A70141" w:rsidRDefault="00992377" w:rsidP="00992377">
      <w:pPr>
        <w:spacing w:beforeLines="50" w:before="120" w:afterLines="50" w:after="120"/>
        <w:jc w:val="center"/>
        <w:rPr>
          <w:rFonts w:ascii="Times New Roman" w:hAnsi="Times New Roman" w:cs="Times New Roman"/>
          <w:b/>
          <w:iCs/>
          <w:sz w:val="20"/>
          <w:szCs w:val="20"/>
        </w:rPr>
      </w:pPr>
      <w:r w:rsidRPr="00A70141">
        <w:rPr>
          <w:rFonts w:ascii="Times New Roman" w:hAnsi="Times New Roman" w:cs="Times New Roman"/>
          <w:b/>
          <w:iCs/>
          <w:sz w:val="20"/>
          <w:szCs w:val="20"/>
        </w:rPr>
        <w:t xml:space="preserve">Table 1: </w:t>
      </w:r>
      <w:r w:rsidRPr="00A70141">
        <w:rPr>
          <w:rFonts w:ascii="Times New Roman" w:hAnsi="Times New Roman" w:cs="Times New Roman" w:hint="eastAsia"/>
          <w:b/>
          <w:iCs/>
          <w:sz w:val="20"/>
          <w:szCs w:val="20"/>
        </w:rPr>
        <w:t>L</w:t>
      </w:r>
      <w:r w:rsidRPr="00A70141">
        <w:rPr>
          <w:rFonts w:ascii="Times New Roman" w:hAnsi="Times New Roman" w:cs="Times New Roman"/>
          <w:b/>
          <w:iCs/>
          <w:sz w:val="20"/>
          <w:szCs w:val="20"/>
        </w:rPr>
        <w:t>ayer-1 feature list for NR_ATG</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09"/>
        <w:gridCol w:w="1696"/>
        <w:gridCol w:w="2962"/>
        <w:gridCol w:w="1417"/>
        <w:gridCol w:w="2605"/>
        <w:gridCol w:w="1838"/>
        <w:gridCol w:w="1697"/>
        <w:gridCol w:w="1557"/>
        <w:gridCol w:w="1267"/>
        <w:gridCol w:w="2823"/>
      </w:tblGrid>
      <w:tr w:rsidR="00992377" w:rsidRPr="00A70141" w14:paraId="3ED8AC90" w14:textId="77777777" w:rsidTr="008A79C7">
        <w:tc>
          <w:tcPr>
            <w:tcW w:w="1129" w:type="dxa"/>
          </w:tcPr>
          <w:p w14:paraId="0549E304" w14:textId="77777777" w:rsidR="00992377" w:rsidRPr="00A70141" w:rsidRDefault="00992377" w:rsidP="00BA12F2">
            <w:pPr>
              <w:pStyle w:val="TAH"/>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Features</w:t>
            </w:r>
          </w:p>
        </w:tc>
        <w:tc>
          <w:tcPr>
            <w:tcW w:w="709" w:type="dxa"/>
          </w:tcPr>
          <w:p w14:paraId="7E96C62C" w14:textId="77777777" w:rsidR="00992377" w:rsidRPr="00A70141" w:rsidRDefault="00992377" w:rsidP="00BA12F2">
            <w:pPr>
              <w:pStyle w:val="TAH"/>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Index</w:t>
            </w:r>
          </w:p>
        </w:tc>
        <w:tc>
          <w:tcPr>
            <w:tcW w:w="1701" w:type="dxa"/>
          </w:tcPr>
          <w:p w14:paraId="793D8F40" w14:textId="77777777" w:rsidR="00992377" w:rsidRPr="00A70141" w:rsidRDefault="00992377" w:rsidP="00BA12F2">
            <w:pPr>
              <w:pStyle w:val="TAH"/>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Feature group</w:t>
            </w:r>
          </w:p>
        </w:tc>
        <w:tc>
          <w:tcPr>
            <w:tcW w:w="2977" w:type="dxa"/>
          </w:tcPr>
          <w:p w14:paraId="49AD8176" w14:textId="77777777" w:rsidR="00992377" w:rsidRPr="00A70141" w:rsidRDefault="00992377" w:rsidP="00BA12F2">
            <w:pPr>
              <w:pStyle w:val="TAH"/>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Components</w:t>
            </w:r>
          </w:p>
        </w:tc>
        <w:tc>
          <w:tcPr>
            <w:tcW w:w="1417" w:type="dxa"/>
          </w:tcPr>
          <w:p w14:paraId="204C6569" w14:textId="77777777" w:rsidR="00992377" w:rsidRPr="00A70141" w:rsidRDefault="00992377" w:rsidP="00BA12F2">
            <w:pPr>
              <w:pStyle w:val="TAH"/>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Prerequisite feature groups</w:t>
            </w:r>
          </w:p>
        </w:tc>
        <w:tc>
          <w:tcPr>
            <w:tcW w:w="2552" w:type="dxa"/>
          </w:tcPr>
          <w:p w14:paraId="2DDB22F2" w14:textId="77777777" w:rsidR="00992377" w:rsidRPr="00A70141" w:rsidRDefault="00992377" w:rsidP="00BA12F2">
            <w:pPr>
              <w:pStyle w:val="TAH"/>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Field name in TS 38.331</w:t>
            </w:r>
          </w:p>
        </w:tc>
        <w:tc>
          <w:tcPr>
            <w:tcW w:w="1843" w:type="dxa"/>
          </w:tcPr>
          <w:p w14:paraId="4AD8616D" w14:textId="77777777" w:rsidR="00992377" w:rsidRPr="00A70141" w:rsidRDefault="00992377" w:rsidP="00BA12F2">
            <w:pPr>
              <w:pStyle w:val="TAH"/>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Parent IE in TS 38.331</w:t>
            </w:r>
          </w:p>
        </w:tc>
        <w:tc>
          <w:tcPr>
            <w:tcW w:w="1701" w:type="dxa"/>
          </w:tcPr>
          <w:p w14:paraId="6A1E5F52" w14:textId="77777777" w:rsidR="00992377" w:rsidRPr="00A70141" w:rsidRDefault="00992377" w:rsidP="00BA12F2">
            <w:pPr>
              <w:pStyle w:val="TAH"/>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Need of FDD/TDD differentiation</w:t>
            </w:r>
          </w:p>
        </w:tc>
        <w:tc>
          <w:tcPr>
            <w:tcW w:w="1559" w:type="dxa"/>
          </w:tcPr>
          <w:p w14:paraId="2A3BCCFE" w14:textId="77777777" w:rsidR="00992377" w:rsidRPr="00A70141" w:rsidRDefault="00992377" w:rsidP="00BA12F2">
            <w:pPr>
              <w:pStyle w:val="TAH"/>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Need of FR1/FR2 differentiation</w:t>
            </w:r>
          </w:p>
        </w:tc>
        <w:tc>
          <w:tcPr>
            <w:tcW w:w="1276" w:type="dxa"/>
          </w:tcPr>
          <w:p w14:paraId="5333FDF2" w14:textId="77777777" w:rsidR="00992377" w:rsidRPr="00A70141" w:rsidRDefault="00992377" w:rsidP="00BA12F2">
            <w:pPr>
              <w:pStyle w:val="TAH"/>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Note</w:t>
            </w:r>
          </w:p>
        </w:tc>
        <w:tc>
          <w:tcPr>
            <w:tcW w:w="2835" w:type="dxa"/>
          </w:tcPr>
          <w:p w14:paraId="0CA2064F" w14:textId="77777777" w:rsidR="00992377" w:rsidRPr="00A70141" w:rsidRDefault="00992377" w:rsidP="00BA12F2">
            <w:pPr>
              <w:pStyle w:val="TAH"/>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Mandatory/Optional</w:t>
            </w:r>
          </w:p>
        </w:tc>
      </w:tr>
      <w:tr w:rsidR="00992377" w:rsidRPr="00A70141" w14:paraId="4D44D2CA" w14:textId="77777777" w:rsidTr="008A79C7">
        <w:tc>
          <w:tcPr>
            <w:tcW w:w="1129" w:type="dxa"/>
            <w:tcBorders>
              <w:top w:val="single" w:sz="4" w:space="0" w:color="auto"/>
              <w:left w:val="single" w:sz="4" w:space="0" w:color="auto"/>
              <w:bottom w:val="single" w:sz="4" w:space="0" w:color="auto"/>
              <w:right w:val="single" w:sz="4" w:space="0" w:color="auto"/>
            </w:tcBorders>
          </w:tcPr>
          <w:p w14:paraId="1960DC11"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xx.</w:t>
            </w:r>
          </w:p>
          <w:p w14:paraId="33E74427"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NR_ATG</w:t>
            </w:r>
          </w:p>
        </w:tc>
        <w:tc>
          <w:tcPr>
            <w:tcW w:w="709" w:type="dxa"/>
            <w:tcBorders>
              <w:top w:val="single" w:sz="4" w:space="0" w:color="auto"/>
              <w:left w:val="single" w:sz="4" w:space="0" w:color="auto"/>
              <w:bottom w:val="single" w:sz="4" w:space="0" w:color="auto"/>
              <w:right w:val="single" w:sz="4" w:space="0" w:color="auto"/>
            </w:tcBorders>
          </w:tcPr>
          <w:p w14:paraId="4A2E6D0D"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xx-x</w:t>
            </w:r>
          </w:p>
        </w:tc>
        <w:tc>
          <w:tcPr>
            <w:tcW w:w="1701" w:type="dxa"/>
            <w:tcBorders>
              <w:top w:val="single" w:sz="4" w:space="0" w:color="auto"/>
              <w:left w:val="single" w:sz="4" w:space="0" w:color="auto"/>
              <w:bottom w:val="single" w:sz="4" w:space="0" w:color="auto"/>
              <w:right w:val="single" w:sz="4" w:space="0" w:color="auto"/>
            </w:tcBorders>
          </w:tcPr>
          <w:p w14:paraId="721A603D"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Uplink Time and Frequency pre-compensation and timing relationship enhancements</w:t>
            </w:r>
          </w:p>
        </w:tc>
        <w:tc>
          <w:tcPr>
            <w:tcW w:w="2977" w:type="dxa"/>
            <w:tcBorders>
              <w:top w:val="single" w:sz="4" w:space="0" w:color="auto"/>
              <w:left w:val="single" w:sz="4" w:space="0" w:color="auto"/>
              <w:bottom w:val="single" w:sz="4" w:space="0" w:color="auto"/>
              <w:right w:val="single" w:sz="4" w:space="0" w:color="auto"/>
            </w:tcBorders>
          </w:tcPr>
          <w:p w14:paraId="78EB002A" w14:textId="77777777" w:rsidR="00992377" w:rsidRPr="00A70141" w:rsidRDefault="00992377" w:rsidP="00BA12F2">
            <w:pPr>
              <w:pStyle w:val="TAL"/>
              <w:keepNext w:val="0"/>
              <w:keepLines w:val="0"/>
              <w:numPr>
                <w:ilvl w:val="3"/>
                <w:numId w:val="10"/>
              </w:numPr>
              <w:adjustRightInd w:val="0"/>
              <w:snapToGrid w:val="0"/>
              <w:spacing w:beforeLines="0" w:afterLines="0"/>
              <w:ind w:left="0" w:firstLine="0"/>
              <w:rPr>
                <w:rFonts w:ascii="Times New Roman" w:hAnsi="Times New Roman"/>
                <w:sz w:val="20"/>
              </w:rPr>
            </w:pPr>
            <w:r w:rsidRPr="00A70141">
              <w:rPr>
                <w:rFonts w:ascii="Times New Roman" w:hAnsi="Times New Roman"/>
                <w:sz w:val="20"/>
              </w:rPr>
              <w:t>Support of UE specific TA calculation based on its GNSS-acquired position and the indicated BS location.</w:t>
            </w:r>
          </w:p>
          <w:p w14:paraId="6A723CC6" w14:textId="77777777" w:rsidR="00992377" w:rsidRPr="00A70141" w:rsidRDefault="00992377" w:rsidP="00BA12F2">
            <w:pPr>
              <w:pStyle w:val="TAL"/>
              <w:keepNext w:val="0"/>
              <w:keepLines w:val="0"/>
              <w:numPr>
                <w:ilvl w:val="3"/>
                <w:numId w:val="10"/>
              </w:numPr>
              <w:adjustRightInd w:val="0"/>
              <w:snapToGrid w:val="0"/>
              <w:spacing w:beforeLines="0" w:afterLines="0"/>
              <w:ind w:left="0" w:firstLine="0"/>
              <w:rPr>
                <w:rFonts w:ascii="Times New Roman" w:hAnsi="Times New Roman"/>
                <w:sz w:val="20"/>
              </w:rPr>
            </w:pPr>
            <w:r w:rsidRPr="00A70141">
              <w:rPr>
                <w:rFonts w:ascii="Times New Roman" w:hAnsi="Times New Roman"/>
                <w:sz w:val="20"/>
              </w:rPr>
              <w:t>Support of open (i.e. UE autonomous TA estimation) and closed (i.e., received TA commands) loop control for TA update in RRC_CONNECTED state.</w:t>
            </w:r>
          </w:p>
          <w:p w14:paraId="3B9258F6" w14:textId="77777777" w:rsidR="00992377" w:rsidRPr="00A70141" w:rsidRDefault="00992377" w:rsidP="00BA12F2">
            <w:pPr>
              <w:pStyle w:val="TAL"/>
              <w:keepNext w:val="0"/>
              <w:keepLines w:val="0"/>
              <w:numPr>
                <w:ilvl w:val="3"/>
                <w:numId w:val="10"/>
              </w:numPr>
              <w:adjustRightInd w:val="0"/>
              <w:snapToGrid w:val="0"/>
              <w:spacing w:beforeLines="0" w:afterLines="0"/>
              <w:ind w:left="0" w:firstLine="0"/>
              <w:rPr>
                <w:rFonts w:ascii="Times New Roman" w:hAnsi="Times New Roman"/>
                <w:sz w:val="20"/>
              </w:rPr>
            </w:pPr>
            <w:r w:rsidRPr="00A70141">
              <w:rPr>
                <w:rFonts w:ascii="Times New Roman" w:hAnsi="Times New Roman"/>
                <w:sz w:val="20"/>
              </w:rPr>
              <w:t>Support of pre-compensation of the calculated TA in the uplink transmissions.</w:t>
            </w:r>
          </w:p>
          <w:p w14:paraId="786BB7D2" w14:textId="77777777" w:rsidR="00992377" w:rsidRPr="00A70141" w:rsidRDefault="00992377" w:rsidP="00BA12F2">
            <w:pPr>
              <w:pStyle w:val="TAL"/>
              <w:keepNext w:val="0"/>
              <w:keepLines w:val="0"/>
              <w:numPr>
                <w:ilvl w:val="3"/>
                <w:numId w:val="10"/>
              </w:numPr>
              <w:adjustRightInd w:val="0"/>
              <w:snapToGrid w:val="0"/>
              <w:spacing w:beforeLines="0" w:afterLines="0"/>
              <w:ind w:left="0" w:firstLine="0"/>
              <w:rPr>
                <w:rFonts w:ascii="Times New Roman" w:hAnsi="Times New Roman"/>
                <w:sz w:val="20"/>
              </w:rPr>
            </w:pPr>
            <w:r w:rsidRPr="00A70141">
              <w:rPr>
                <w:rFonts w:ascii="Times New Roman" w:hAnsi="Times New Roman"/>
                <w:sz w:val="20"/>
              </w:rPr>
              <w:t>Support of frequency pre-compensation to account for the Doppler experienced on the service link.</w:t>
            </w:r>
          </w:p>
          <w:p w14:paraId="5777E70D" w14:textId="77777777" w:rsidR="00992377" w:rsidRPr="00A70141" w:rsidRDefault="00992377" w:rsidP="00BA12F2">
            <w:pPr>
              <w:pStyle w:val="TAL"/>
              <w:keepNext w:val="0"/>
              <w:keepLines w:val="0"/>
              <w:numPr>
                <w:ilvl w:val="3"/>
                <w:numId w:val="10"/>
              </w:numPr>
              <w:adjustRightInd w:val="0"/>
              <w:snapToGrid w:val="0"/>
              <w:spacing w:beforeLines="0" w:afterLines="0"/>
              <w:ind w:left="0" w:firstLine="0"/>
              <w:rPr>
                <w:rFonts w:ascii="Times New Roman" w:hAnsi="Times New Roman"/>
                <w:sz w:val="20"/>
              </w:rPr>
            </w:pPr>
            <w:r w:rsidRPr="00A70141">
              <w:rPr>
                <w:rFonts w:ascii="Times New Roman" w:hAnsi="Times New Roman"/>
                <w:sz w:val="20"/>
              </w:rPr>
              <w:t>Support of determining timing of the scheduling of PUSCH, PUCCH and PDCCH ordered PRACH, CSI reference resource, transmission of aperiodic SRS activation of TA command, first PUSCH transmission in CG Type 2 with cell-specific K_offset if indicated.</w:t>
            </w:r>
          </w:p>
          <w:p w14:paraId="2DE7CFFD" w14:textId="77777777" w:rsidR="00992377" w:rsidRPr="00A943B6" w:rsidRDefault="00992377" w:rsidP="00BA12F2">
            <w:pPr>
              <w:pStyle w:val="TAL"/>
              <w:keepNext w:val="0"/>
              <w:keepLines w:val="0"/>
              <w:numPr>
                <w:ilvl w:val="3"/>
                <w:numId w:val="10"/>
              </w:numPr>
              <w:adjustRightInd w:val="0"/>
              <w:snapToGrid w:val="0"/>
              <w:spacing w:beforeLines="0" w:afterLines="0"/>
              <w:ind w:left="0" w:firstLine="0"/>
              <w:rPr>
                <w:rFonts w:ascii="Times New Roman" w:hAnsi="Times New Roman"/>
                <w:sz w:val="20"/>
              </w:rPr>
            </w:pPr>
            <w:r w:rsidRPr="00A70141">
              <w:rPr>
                <w:rFonts w:ascii="Times New Roman" w:hAnsi="Times New Roman"/>
                <w:sz w:val="20"/>
              </w:rPr>
              <w:t>Support of UE receiving cell-specific K_offset in system information..</w:t>
            </w:r>
          </w:p>
        </w:tc>
        <w:tc>
          <w:tcPr>
            <w:tcW w:w="1417" w:type="dxa"/>
            <w:tcBorders>
              <w:top w:val="single" w:sz="4" w:space="0" w:color="auto"/>
              <w:left w:val="single" w:sz="4" w:space="0" w:color="auto"/>
              <w:bottom w:val="single" w:sz="4" w:space="0" w:color="auto"/>
              <w:right w:val="single" w:sz="4" w:space="0" w:color="auto"/>
            </w:tcBorders>
          </w:tcPr>
          <w:p w14:paraId="3122F6D3"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p>
        </w:tc>
        <w:tc>
          <w:tcPr>
            <w:tcW w:w="2552" w:type="dxa"/>
            <w:tcBorders>
              <w:top w:val="single" w:sz="4" w:space="0" w:color="auto"/>
              <w:left w:val="single" w:sz="4" w:space="0" w:color="auto"/>
              <w:bottom w:val="single" w:sz="4" w:space="0" w:color="auto"/>
              <w:right w:val="single" w:sz="4" w:space="0" w:color="auto"/>
            </w:tcBorders>
          </w:tcPr>
          <w:p w14:paraId="2563D54B" w14:textId="77777777" w:rsidR="00992377" w:rsidRPr="00A70141" w:rsidRDefault="00992377" w:rsidP="00BA12F2">
            <w:pPr>
              <w:pStyle w:val="TAL"/>
              <w:keepNext w:val="0"/>
              <w:keepLines w:val="0"/>
              <w:adjustRightInd w:val="0"/>
              <w:snapToGrid w:val="0"/>
              <w:spacing w:beforeLines="0" w:afterLines="0"/>
              <w:rPr>
                <w:rFonts w:ascii="Times New Roman" w:hAnsi="Times New Roman"/>
                <w:i/>
                <w:iCs/>
                <w:sz w:val="20"/>
                <w:highlight w:val="yellow"/>
              </w:rPr>
            </w:pPr>
            <w:r w:rsidRPr="005834B0">
              <w:rPr>
                <w:rFonts w:ascii="Times New Roman" w:hAnsi="Times New Roman"/>
                <w:i/>
                <w:iCs/>
                <w:color w:val="FF0000"/>
                <w:sz w:val="20"/>
              </w:rPr>
              <w:t>uplinkPreCompensationATG-r18</w:t>
            </w:r>
          </w:p>
        </w:tc>
        <w:tc>
          <w:tcPr>
            <w:tcW w:w="1843" w:type="dxa"/>
            <w:tcBorders>
              <w:top w:val="single" w:sz="4" w:space="0" w:color="auto"/>
              <w:left w:val="single" w:sz="4" w:space="0" w:color="auto"/>
              <w:bottom w:val="single" w:sz="4" w:space="0" w:color="auto"/>
              <w:right w:val="single" w:sz="4" w:space="0" w:color="auto"/>
            </w:tcBorders>
          </w:tcPr>
          <w:p w14:paraId="01FA7385" w14:textId="77777777" w:rsidR="00992377" w:rsidRPr="00A70141" w:rsidRDefault="00992377" w:rsidP="00BA12F2">
            <w:pPr>
              <w:pStyle w:val="TAL"/>
              <w:keepNext w:val="0"/>
              <w:keepLines w:val="0"/>
              <w:adjustRightInd w:val="0"/>
              <w:snapToGrid w:val="0"/>
              <w:spacing w:beforeLines="0" w:afterLines="0"/>
              <w:rPr>
                <w:rFonts w:ascii="Times New Roman" w:hAnsi="Times New Roman"/>
                <w:i/>
                <w:iCs/>
                <w:sz w:val="20"/>
                <w:highlight w:val="yellow"/>
              </w:rPr>
            </w:pPr>
            <w:r w:rsidRPr="005834B0">
              <w:rPr>
                <w:rFonts w:ascii="Times New Roman" w:hAnsi="Times New Roman"/>
                <w:i/>
                <w:iCs/>
                <w:color w:val="FF0000"/>
                <w:sz w:val="20"/>
              </w:rPr>
              <w:t>Phy-ParametersFR1</w:t>
            </w:r>
          </w:p>
        </w:tc>
        <w:tc>
          <w:tcPr>
            <w:tcW w:w="1701" w:type="dxa"/>
            <w:tcBorders>
              <w:top w:val="single" w:sz="4" w:space="0" w:color="auto"/>
              <w:left w:val="single" w:sz="4" w:space="0" w:color="auto"/>
              <w:bottom w:val="single" w:sz="4" w:space="0" w:color="auto"/>
              <w:right w:val="single" w:sz="4" w:space="0" w:color="auto"/>
            </w:tcBorders>
          </w:tcPr>
          <w:p w14:paraId="002E5D8F"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No</w:t>
            </w:r>
          </w:p>
        </w:tc>
        <w:tc>
          <w:tcPr>
            <w:tcW w:w="1559" w:type="dxa"/>
            <w:tcBorders>
              <w:top w:val="single" w:sz="4" w:space="0" w:color="auto"/>
              <w:left w:val="single" w:sz="4" w:space="0" w:color="auto"/>
              <w:bottom w:val="single" w:sz="4" w:space="0" w:color="auto"/>
              <w:right w:val="single" w:sz="4" w:space="0" w:color="auto"/>
            </w:tcBorders>
          </w:tcPr>
          <w:p w14:paraId="0DC7D8D3"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FR1 only</w:t>
            </w:r>
          </w:p>
        </w:tc>
        <w:tc>
          <w:tcPr>
            <w:tcW w:w="1276" w:type="dxa"/>
            <w:tcBorders>
              <w:top w:val="single" w:sz="4" w:space="0" w:color="auto"/>
              <w:left w:val="single" w:sz="4" w:space="0" w:color="auto"/>
              <w:bottom w:val="single" w:sz="4" w:space="0" w:color="auto"/>
              <w:right w:val="single" w:sz="4" w:space="0" w:color="auto"/>
            </w:tcBorders>
          </w:tcPr>
          <w:p w14:paraId="46D5BEA9"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p>
        </w:tc>
        <w:tc>
          <w:tcPr>
            <w:tcW w:w="2835" w:type="dxa"/>
            <w:tcBorders>
              <w:top w:val="single" w:sz="4" w:space="0" w:color="auto"/>
              <w:left w:val="single" w:sz="4" w:space="0" w:color="auto"/>
              <w:bottom w:val="single" w:sz="4" w:space="0" w:color="auto"/>
              <w:right w:val="single" w:sz="4" w:space="0" w:color="auto"/>
            </w:tcBorders>
          </w:tcPr>
          <w:p w14:paraId="110022D4"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Mandatory with capability signaling for UE supports NR communication via ATG</w:t>
            </w:r>
          </w:p>
        </w:tc>
      </w:tr>
      <w:tr w:rsidR="00992377" w:rsidRPr="00A70141" w14:paraId="4E104BDA" w14:textId="77777777" w:rsidTr="008A79C7">
        <w:tc>
          <w:tcPr>
            <w:tcW w:w="1129" w:type="dxa"/>
            <w:tcBorders>
              <w:top w:val="single" w:sz="4" w:space="0" w:color="auto"/>
              <w:left w:val="single" w:sz="4" w:space="0" w:color="auto"/>
              <w:bottom w:val="single" w:sz="4" w:space="0" w:color="auto"/>
              <w:right w:val="single" w:sz="4" w:space="0" w:color="auto"/>
            </w:tcBorders>
          </w:tcPr>
          <w:p w14:paraId="64577CED"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xx.</w:t>
            </w:r>
          </w:p>
          <w:p w14:paraId="0B607F5F"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NR_ATG</w:t>
            </w:r>
          </w:p>
        </w:tc>
        <w:tc>
          <w:tcPr>
            <w:tcW w:w="709" w:type="dxa"/>
            <w:tcBorders>
              <w:top w:val="single" w:sz="4" w:space="0" w:color="auto"/>
              <w:left w:val="single" w:sz="4" w:space="0" w:color="auto"/>
              <w:bottom w:val="single" w:sz="4" w:space="0" w:color="auto"/>
              <w:right w:val="single" w:sz="4" w:space="0" w:color="auto"/>
            </w:tcBorders>
          </w:tcPr>
          <w:p w14:paraId="100308E0"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xx-x</w:t>
            </w:r>
          </w:p>
        </w:tc>
        <w:tc>
          <w:tcPr>
            <w:tcW w:w="1701" w:type="dxa"/>
            <w:tcBorders>
              <w:top w:val="single" w:sz="4" w:space="0" w:color="auto"/>
              <w:left w:val="single" w:sz="4" w:space="0" w:color="auto"/>
              <w:bottom w:val="single" w:sz="4" w:space="0" w:color="auto"/>
              <w:right w:val="single" w:sz="4" w:space="0" w:color="auto"/>
            </w:tcBorders>
          </w:tcPr>
          <w:p w14:paraId="5F78370A"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UE reporting of TA information</w:t>
            </w:r>
          </w:p>
        </w:tc>
        <w:tc>
          <w:tcPr>
            <w:tcW w:w="2977" w:type="dxa"/>
            <w:tcBorders>
              <w:top w:val="single" w:sz="4" w:space="0" w:color="auto"/>
              <w:left w:val="single" w:sz="4" w:space="0" w:color="auto"/>
              <w:bottom w:val="single" w:sz="4" w:space="0" w:color="auto"/>
              <w:right w:val="single" w:sz="4" w:space="0" w:color="auto"/>
            </w:tcBorders>
          </w:tcPr>
          <w:p w14:paraId="21E46748" w14:textId="77777777" w:rsidR="00992377" w:rsidRPr="00A70141" w:rsidRDefault="00992377" w:rsidP="00BA12F2">
            <w:pPr>
              <w:pStyle w:val="TAL"/>
              <w:keepNext w:val="0"/>
              <w:keepLines w:val="0"/>
              <w:numPr>
                <w:ilvl w:val="3"/>
                <w:numId w:val="18"/>
              </w:numPr>
              <w:adjustRightInd w:val="0"/>
              <w:snapToGrid w:val="0"/>
              <w:spacing w:beforeLines="0" w:afterLines="0"/>
              <w:ind w:left="0" w:firstLine="0"/>
              <w:rPr>
                <w:rFonts w:ascii="Times New Roman" w:hAnsi="Times New Roman"/>
                <w:sz w:val="20"/>
              </w:rPr>
            </w:pPr>
            <w:r w:rsidRPr="00A70141">
              <w:rPr>
                <w:rFonts w:ascii="Times New Roman" w:hAnsi="Times New Roman"/>
                <w:sz w:val="20"/>
              </w:rPr>
              <w:t>Support UE reporting of TA information</w:t>
            </w:r>
          </w:p>
        </w:tc>
        <w:tc>
          <w:tcPr>
            <w:tcW w:w="1417" w:type="dxa"/>
            <w:tcBorders>
              <w:top w:val="single" w:sz="4" w:space="0" w:color="auto"/>
              <w:left w:val="single" w:sz="4" w:space="0" w:color="auto"/>
              <w:bottom w:val="single" w:sz="4" w:space="0" w:color="auto"/>
              <w:right w:val="single" w:sz="4" w:space="0" w:color="auto"/>
            </w:tcBorders>
          </w:tcPr>
          <w:p w14:paraId="525AF72B"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[Uplink Time and Frequency pre-compensation and timing relationship enhancements]</w:t>
            </w:r>
          </w:p>
        </w:tc>
        <w:tc>
          <w:tcPr>
            <w:tcW w:w="2552" w:type="dxa"/>
            <w:tcBorders>
              <w:top w:val="single" w:sz="4" w:space="0" w:color="auto"/>
              <w:left w:val="single" w:sz="4" w:space="0" w:color="auto"/>
              <w:bottom w:val="single" w:sz="4" w:space="0" w:color="auto"/>
              <w:right w:val="single" w:sz="4" w:space="0" w:color="auto"/>
            </w:tcBorders>
          </w:tcPr>
          <w:p w14:paraId="06C90770" w14:textId="77777777" w:rsidR="00992377" w:rsidRPr="00A943B6" w:rsidRDefault="00992377" w:rsidP="00BA12F2">
            <w:pPr>
              <w:pStyle w:val="TAL"/>
              <w:keepNext w:val="0"/>
              <w:keepLines w:val="0"/>
              <w:adjustRightInd w:val="0"/>
              <w:snapToGrid w:val="0"/>
              <w:spacing w:beforeLines="0" w:afterLines="0"/>
              <w:rPr>
                <w:rFonts w:ascii="Times New Roman" w:hAnsi="Times New Roman"/>
                <w:i/>
                <w:iCs/>
                <w:noProof/>
                <w:sz w:val="20"/>
                <w:highlight w:val="yellow"/>
                <w:lang w:eastAsia="en-GB"/>
              </w:rPr>
            </w:pPr>
            <w:r w:rsidRPr="005834B0">
              <w:rPr>
                <w:rFonts w:ascii="Times New Roman" w:hAnsi="Times New Roman"/>
                <w:i/>
                <w:iCs/>
                <w:noProof/>
                <w:color w:val="FF0000"/>
                <w:sz w:val="20"/>
                <w:lang w:eastAsia="en-GB"/>
              </w:rPr>
              <w:t>ta-ReportATG-r18</w:t>
            </w:r>
          </w:p>
        </w:tc>
        <w:tc>
          <w:tcPr>
            <w:tcW w:w="1843" w:type="dxa"/>
            <w:tcBorders>
              <w:top w:val="single" w:sz="4" w:space="0" w:color="auto"/>
              <w:left w:val="single" w:sz="4" w:space="0" w:color="auto"/>
              <w:bottom w:val="single" w:sz="4" w:space="0" w:color="auto"/>
              <w:right w:val="single" w:sz="4" w:space="0" w:color="auto"/>
            </w:tcBorders>
          </w:tcPr>
          <w:p w14:paraId="692F0CDB" w14:textId="77777777" w:rsidR="00992377" w:rsidRPr="00A943B6" w:rsidRDefault="00992377" w:rsidP="00BA12F2">
            <w:pPr>
              <w:pStyle w:val="TAL"/>
              <w:keepNext w:val="0"/>
              <w:keepLines w:val="0"/>
              <w:adjustRightInd w:val="0"/>
              <w:snapToGrid w:val="0"/>
              <w:spacing w:beforeLines="0" w:afterLines="0"/>
              <w:rPr>
                <w:rFonts w:ascii="Times New Roman" w:hAnsi="Times New Roman"/>
                <w:i/>
                <w:iCs/>
                <w:noProof/>
                <w:sz w:val="20"/>
                <w:highlight w:val="yellow"/>
                <w:lang w:eastAsia="en-GB"/>
              </w:rPr>
            </w:pPr>
            <w:r w:rsidRPr="005834B0">
              <w:rPr>
                <w:rFonts w:ascii="Times New Roman" w:hAnsi="Times New Roman"/>
                <w:i/>
                <w:iCs/>
                <w:noProof/>
                <w:color w:val="FF0000"/>
                <w:sz w:val="20"/>
                <w:lang w:eastAsia="en-GB"/>
              </w:rPr>
              <w:t>ATG-Config-r18</w:t>
            </w:r>
          </w:p>
        </w:tc>
        <w:tc>
          <w:tcPr>
            <w:tcW w:w="1701" w:type="dxa"/>
            <w:tcBorders>
              <w:top w:val="single" w:sz="4" w:space="0" w:color="auto"/>
              <w:left w:val="single" w:sz="4" w:space="0" w:color="auto"/>
              <w:bottom w:val="single" w:sz="4" w:space="0" w:color="auto"/>
              <w:right w:val="single" w:sz="4" w:space="0" w:color="auto"/>
            </w:tcBorders>
          </w:tcPr>
          <w:p w14:paraId="4D0D1E1A"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No</w:t>
            </w:r>
          </w:p>
        </w:tc>
        <w:tc>
          <w:tcPr>
            <w:tcW w:w="1559" w:type="dxa"/>
            <w:tcBorders>
              <w:top w:val="single" w:sz="4" w:space="0" w:color="auto"/>
              <w:left w:val="single" w:sz="4" w:space="0" w:color="auto"/>
              <w:bottom w:val="single" w:sz="4" w:space="0" w:color="auto"/>
              <w:right w:val="single" w:sz="4" w:space="0" w:color="auto"/>
            </w:tcBorders>
          </w:tcPr>
          <w:p w14:paraId="0B489E8B"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FR1 only</w:t>
            </w:r>
          </w:p>
        </w:tc>
        <w:tc>
          <w:tcPr>
            <w:tcW w:w="1276" w:type="dxa"/>
            <w:tcBorders>
              <w:top w:val="single" w:sz="4" w:space="0" w:color="auto"/>
              <w:left w:val="single" w:sz="4" w:space="0" w:color="auto"/>
              <w:bottom w:val="single" w:sz="4" w:space="0" w:color="auto"/>
              <w:right w:val="single" w:sz="4" w:space="0" w:color="auto"/>
            </w:tcBorders>
          </w:tcPr>
          <w:p w14:paraId="7BF6FED4"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p>
        </w:tc>
        <w:tc>
          <w:tcPr>
            <w:tcW w:w="2835" w:type="dxa"/>
            <w:tcBorders>
              <w:top w:val="single" w:sz="4" w:space="0" w:color="auto"/>
              <w:left w:val="single" w:sz="4" w:space="0" w:color="auto"/>
              <w:bottom w:val="single" w:sz="4" w:space="0" w:color="auto"/>
              <w:right w:val="single" w:sz="4" w:space="0" w:color="auto"/>
            </w:tcBorders>
          </w:tcPr>
          <w:p w14:paraId="4D9AFE08"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hint="eastAsia"/>
                <w:sz w:val="20"/>
              </w:rPr>
              <w:t>O</w:t>
            </w:r>
            <w:r w:rsidRPr="00A70141">
              <w:rPr>
                <w:rFonts w:ascii="Times New Roman" w:hAnsi="Times New Roman"/>
                <w:sz w:val="20"/>
              </w:rPr>
              <w:t>ptional with capability siganling</w:t>
            </w:r>
          </w:p>
        </w:tc>
      </w:tr>
      <w:tr w:rsidR="00992377" w:rsidRPr="00A70141" w14:paraId="376F39CA" w14:textId="77777777" w:rsidTr="008A79C7">
        <w:tc>
          <w:tcPr>
            <w:tcW w:w="1129" w:type="dxa"/>
            <w:tcBorders>
              <w:top w:val="single" w:sz="4" w:space="0" w:color="auto"/>
              <w:left w:val="single" w:sz="4" w:space="0" w:color="auto"/>
              <w:bottom w:val="single" w:sz="4" w:space="0" w:color="auto"/>
              <w:right w:val="single" w:sz="4" w:space="0" w:color="auto"/>
            </w:tcBorders>
          </w:tcPr>
          <w:p w14:paraId="623AC6F4"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xx.</w:t>
            </w:r>
          </w:p>
          <w:p w14:paraId="03EF79E7"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NR_ATG</w:t>
            </w:r>
          </w:p>
        </w:tc>
        <w:tc>
          <w:tcPr>
            <w:tcW w:w="709" w:type="dxa"/>
            <w:tcBorders>
              <w:top w:val="single" w:sz="4" w:space="0" w:color="auto"/>
              <w:left w:val="single" w:sz="4" w:space="0" w:color="auto"/>
              <w:bottom w:val="single" w:sz="4" w:space="0" w:color="auto"/>
              <w:right w:val="single" w:sz="4" w:space="0" w:color="auto"/>
            </w:tcBorders>
          </w:tcPr>
          <w:p w14:paraId="15243EAE"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xx-x</w:t>
            </w:r>
          </w:p>
        </w:tc>
        <w:tc>
          <w:tcPr>
            <w:tcW w:w="1701" w:type="dxa"/>
            <w:tcBorders>
              <w:top w:val="single" w:sz="4" w:space="0" w:color="auto"/>
              <w:left w:val="single" w:sz="4" w:space="0" w:color="auto"/>
              <w:bottom w:val="single" w:sz="4" w:space="0" w:color="auto"/>
              <w:right w:val="single" w:sz="4" w:space="0" w:color="auto"/>
            </w:tcBorders>
          </w:tcPr>
          <w:p w14:paraId="2A854FAF"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color w:val="000000"/>
                <w:sz w:val="20"/>
              </w:rPr>
              <w:t>Increasing the number of HARQ processes</w:t>
            </w:r>
          </w:p>
        </w:tc>
        <w:tc>
          <w:tcPr>
            <w:tcW w:w="2977" w:type="dxa"/>
            <w:tcBorders>
              <w:top w:val="single" w:sz="4" w:space="0" w:color="auto"/>
              <w:left w:val="single" w:sz="4" w:space="0" w:color="auto"/>
              <w:bottom w:val="single" w:sz="4" w:space="0" w:color="auto"/>
              <w:right w:val="single" w:sz="4" w:space="0" w:color="auto"/>
            </w:tcBorders>
          </w:tcPr>
          <w:p w14:paraId="574EC86F" w14:textId="77777777" w:rsidR="00992377" w:rsidRPr="00A70141" w:rsidRDefault="00992377" w:rsidP="00BA12F2">
            <w:pPr>
              <w:pStyle w:val="TAL"/>
              <w:keepNext w:val="0"/>
              <w:keepLines w:val="0"/>
              <w:numPr>
                <w:ilvl w:val="3"/>
                <w:numId w:val="19"/>
              </w:numPr>
              <w:adjustRightInd w:val="0"/>
              <w:snapToGrid w:val="0"/>
              <w:spacing w:beforeLines="0" w:afterLines="0"/>
              <w:ind w:left="0" w:firstLine="0"/>
              <w:rPr>
                <w:rFonts w:ascii="Times New Roman" w:hAnsi="Times New Roman"/>
                <w:sz w:val="20"/>
              </w:rPr>
            </w:pPr>
            <w:r w:rsidRPr="00A70141">
              <w:rPr>
                <w:rFonts w:ascii="Times New Roman" w:hAnsi="Times New Roman"/>
                <w:color w:val="000000"/>
                <w:sz w:val="20"/>
              </w:rPr>
              <w:t>The maximal supported HARQ process number is X for UL and Y for DL</w:t>
            </w:r>
          </w:p>
        </w:tc>
        <w:tc>
          <w:tcPr>
            <w:tcW w:w="1417" w:type="dxa"/>
            <w:tcBorders>
              <w:top w:val="single" w:sz="4" w:space="0" w:color="auto"/>
              <w:left w:val="single" w:sz="4" w:space="0" w:color="auto"/>
              <w:bottom w:val="single" w:sz="4" w:space="0" w:color="auto"/>
              <w:right w:val="single" w:sz="4" w:space="0" w:color="auto"/>
            </w:tcBorders>
          </w:tcPr>
          <w:p w14:paraId="046C3EB1"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p>
        </w:tc>
        <w:tc>
          <w:tcPr>
            <w:tcW w:w="2552" w:type="dxa"/>
            <w:tcBorders>
              <w:top w:val="single" w:sz="4" w:space="0" w:color="auto"/>
              <w:left w:val="single" w:sz="4" w:space="0" w:color="auto"/>
              <w:bottom w:val="single" w:sz="4" w:space="0" w:color="auto"/>
              <w:right w:val="single" w:sz="4" w:space="0" w:color="auto"/>
            </w:tcBorders>
          </w:tcPr>
          <w:p w14:paraId="47ADC326" w14:textId="77777777" w:rsidR="00992377" w:rsidRPr="005834B0" w:rsidRDefault="00992377" w:rsidP="00BA12F2">
            <w:pPr>
              <w:pStyle w:val="TAL"/>
              <w:keepNext w:val="0"/>
              <w:keepLines w:val="0"/>
              <w:adjustRightInd w:val="0"/>
              <w:snapToGrid w:val="0"/>
              <w:spacing w:beforeLines="0" w:afterLines="0"/>
              <w:rPr>
                <w:rFonts w:ascii="Times New Roman" w:hAnsi="Times New Roman"/>
                <w:i/>
                <w:iCs/>
                <w:noProof/>
                <w:color w:val="FF0000"/>
                <w:sz w:val="20"/>
                <w:highlight w:val="yellow"/>
                <w:lang w:eastAsia="en-GB"/>
              </w:rPr>
            </w:pPr>
            <w:r w:rsidRPr="005834B0">
              <w:rPr>
                <w:rFonts w:ascii="Times New Roman" w:hAnsi="Times New Roman"/>
                <w:i/>
                <w:iCs/>
                <w:noProof/>
                <w:color w:val="FF0000"/>
                <w:sz w:val="20"/>
                <w:lang w:eastAsia="en-GB"/>
              </w:rPr>
              <w:t>maxHARQ-ProcessNumberATG-r18</w:t>
            </w:r>
          </w:p>
        </w:tc>
        <w:tc>
          <w:tcPr>
            <w:tcW w:w="1843" w:type="dxa"/>
            <w:tcBorders>
              <w:top w:val="single" w:sz="4" w:space="0" w:color="auto"/>
              <w:left w:val="single" w:sz="4" w:space="0" w:color="auto"/>
              <w:bottom w:val="single" w:sz="4" w:space="0" w:color="auto"/>
              <w:right w:val="single" w:sz="4" w:space="0" w:color="auto"/>
            </w:tcBorders>
          </w:tcPr>
          <w:p w14:paraId="70246124" w14:textId="77777777" w:rsidR="00992377" w:rsidRPr="005834B0" w:rsidRDefault="00992377" w:rsidP="00BA12F2">
            <w:pPr>
              <w:pStyle w:val="TAL"/>
              <w:keepNext w:val="0"/>
              <w:keepLines w:val="0"/>
              <w:adjustRightInd w:val="0"/>
              <w:snapToGrid w:val="0"/>
              <w:spacing w:beforeLines="0" w:afterLines="0"/>
              <w:rPr>
                <w:rFonts w:ascii="Times New Roman" w:hAnsi="Times New Roman"/>
                <w:i/>
                <w:iCs/>
                <w:noProof/>
                <w:color w:val="FF0000"/>
                <w:sz w:val="20"/>
                <w:highlight w:val="yellow"/>
                <w:lang w:eastAsia="en-GB"/>
              </w:rPr>
            </w:pPr>
            <w:r w:rsidRPr="005834B0">
              <w:rPr>
                <w:rFonts w:ascii="Times New Roman" w:hAnsi="Times New Roman"/>
                <w:i/>
                <w:iCs/>
                <w:color w:val="FF0000"/>
                <w:sz w:val="20"/>
              </w:rPr>
              <w:t>Phy-ParametersFR1</w:t>
            </w:r>
          </w:p>
        </w:tc>
        <w:tc>
          <w:tcPr>
            <w:tcW w:w="1701" w:type="dxa"/>
            <w:tcBorders>
              <w:top w:val="single" w:sz="4" w:space="0" w:color="auto"/>
              <w:left w:val="single" w:sz="4" w:space="0" w:color="auto"/>
              <w:bottom w:val="single" w:sz="4" w:space="0" w:color="auto"/>
              <w:right w:val="single" w:sz="4" w:space="0" w:color="auto"/>
            </w:tcBorders>
          </w:tcPr>
          <w:p w14:paraId="3EAFA833"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color w:val="000000"/>
                <w:sz w:val="20"/>
              </w:rPr>
              <w:t>No</w:t>
            </w:r>
          </w:p>
        </w:tc>
        <w:tc>
          <w:tcPr>
            <w:tcW w:w="1559" w:type="dxa"/>
            <w:tcBorders>
              <w:top w:val="single" w:sz="4" w:space="0" w:color="auto"/>
              <w:left w:val="single" w:sz="4" w:space="0" w:color="auto"/>
              <w:bottom w:val="single" w:sz="4" w:space="0" w:color="auto"/>
              <w:right w:val="single" w:sz="4" w:space="0" w:color="auto"/>
            </w:tcBorders>
          </w:tcPr>
          <w:p w14:paraId="73D48BC2"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color w:val="000000"/>
                <w:sz w:val="20"/>
              </w:rPr>
              <w:t>FR1 only</w:t>
            </w:r>
          </w:p>
        </w:tc>
        <w:tc>
          <w:tcPr>
            <w:tcW w:w="1276" w:type="dxa"/>
            <w:tcBorders>
              <w:top w:val="single" w:sz="4" w:space="0" w:color="auto"/>
              <w:left w:val="single" w:sz="4" w:space="0" w:color="auto"/>
              <w:bottom w:val="single" w:sz="4" w:space="0" w:color="auto"/>
              <w:right w:val="single" w:sz="4" w:space="0" w:color="auto"/>
            </w:tcBorders>
          </w:tcPr>
          <w:p w14:paraId="3C028C82"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p>
        </w:tc>
        <w:tc>
          <w:tcPr>
            <w:tcW w:w="2835" w:type="dxa"/>
            <w:tcBorders>
              <w:top w:val="single" w:sz="4" w:space="0" w:color="auto"/>
              <w:left w:val="single" w:sz="4" w:space="0" w:color="auto"/>
              <w:bottom w:val="single" w:sz="4" w:space="0" w:color="auto"/>
              <w:right w:val="single" w:sz="4" w:space="0" w:color="auto"/>
            </w:tcBorders>
          </w:tcPr>
          <w:p w14:paraId="48D53AF5" w14:textId="77777777" w:rsidR="00992377" w:rsidRPr="00A70141" w:rsidRDefault="00992377" w:rsidP="00BA12F2">
            <w:pPr>
              <w:adjustRightInd w:val="0"/>
              <w:snapToGrid w:val="0"/>
              <w:rPr>
                <w:rFonts w:ascii="Times New Roman" w:hAnsi="Times New Roman" w:cs="Times New Roman"/>
                <w:color w:val="000000"/>
                <w:sz w:val="20"/>
                <w:szCs w:val="20"/>
              </w:rPr>
            </w:pPr>
            <w:r w:rsidRPr="00A70141">
              <w:rPr>
                <w:rFonts w:ascii="Times New Roman" w:hAnsi="Times New Roman" w:cs="Times New Roman"/>
                <w:color w:val="000000"/>
                <w:sz w:val="20"/>
                <w:szCs w:val="20"/>
              </w:rPr>
              <w:t>Optional with capability signalling</w:t>
            </w:r>
          </w:p>
          <w:p w14:paraId="374399C7"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p>
        </w:tc>
      </w:tr>
      <w:tr w:rsidR="00992377" w:rsidRPr="00A70141" w14:paraId="6EE87426" w14:textId="77777777" w:rsidTr="008A79C7">
        <w:tc>
          <w:tcPr>
            <w:tcW w:w="1129" w:type="dxa"/>
            <w:tcBorders>
              <w:top w:val="single" w:sz="4" w:space="0" w:color="auto"/>
              <w:left w:val="single" w:sz="4" w:space="0" w:color="auto"/>
              <w:bottom w:val="single" w:sz="4" w:space="0" w:color="auto"/>
              <w:right w:val="single" w:sz="4" w:space="0" w:color="auto"/>
            </w:tcBorders>
          </w:tcPr>
          <w:p w14:paraId="4108D3B3"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xx.</w:t>
            </w:r>
          </w:p>
          <w:p w14:paraId="0AAE414A"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NR_ATG</w:t>
            </w:r>
          </w:p>
        </w:tc>
        <w:tc>
          <w:tcPr>
            <w:tcW w:w="709" w:type="dxa"/>
            <w:tcBorders>
              <w:top w:val="single" w:sz="4" w:space="0" w:color="auto"/>
              <w:left w:val="single" w:sz="4" w:space="0" w:color="auto"/>
              <w:bottom w:val="single" w:sz="4" w:space="0" w:color="auto"/>
              <w:right w:val="single" w:sz="4" w:space="0" w:color="auto"/>
            </w:tcBorders>
          </w:tcPr>
          <w:p w14:paraId="5A0B5D64"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sz w:val="20"/>
              </w:rPr>
              <w:t>xx-x</w:t>
            </w:r>
          </w:p>
        </w:tc>
        <w:tc>
          <w:tcPr>
            <w:tcW w:w="1701" w:type="dxa"/>
            <w:tcBorders>
              <w:top w:val="single" w:sz="4" w:space="0" w:color="auto"/>
              <w:left w:val="single" w:sz="4" w:space="0" w:color="auto"/>
              <w:bottom w:val="single" w:sz="4" w:space="0" w:color="auto"/>
              <w:right w:val="single" w:sz="4" w:space="0" w:color="auto"/>
            </w:tcBorders>
          </w:tcPr>
          <w:p w14:paraId="010AB74C"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color w:val="000000"/>
                <w:sz w:val="20"/>
              </w:rPr>
              <w:t>K1 range extension</w:t>
            </w:r>
          </w:p>
        </w:tc>
        <w:tc>
          <w:tcPr>
            <w:tcW w:w="2977" w:type="dxa"/>
            <w:tcBorders>
              <w:top w:val="single" w:sz="4" w:space="0" w:color="auto"/>
              <w:left w:val="single" w:sz="4" w:space="0" w:color="auto"/>
              <w:bottom w:val="single" w:sz="4" w:space="0" w:color="auto"/>
              <w:right w:val="single" w:sz="4" w:space="0" w:color="auto"/>
            </w:tcBorders>
          </w:tcPr>
          <w:p w14:paraId="13269CA7" w14:textId="77777777" w:rsidR="00992377" w:rsidRPr="00A70141" w:rsidRDefault="00992377" w:rsidP="00BA12F2">
            <w:pPr>
              <w:pStyle w:val="TAL"/>
              <w:keepNext w:val="0"/>
              <w:keepLines w:val="0"/>
              <w:numPr>
                <w:ilvl w:val="3"/>
                <w:numId w:val="20"/>
              </w:numPr>
              <w:adjustRightInd w:val="0"/>
              <w:snapToGrid w:val="0"/>
              <w:spacing w:beforeLines="0" w:afterLines="0"/>
              <w:ind w:left="0" w:firstLine="0"/>
              <w:rPr>
                <w:rFonts w:ascii="Times New Roman" w:hAnsi="Times New Roman"/>
                <w:sz w:val="20"/>
              </w:rPr>
            </w:pPr>
            <w:r w:rsidRPr="00A70141">
              <w:rPr>
                <w:rFonts w:ascii="Times New Roman" w:hAnsi="Times New Roman"/>
                <w:color w:val="000000"/>
                <w:sz w:val="20"/>
              </w:rPr>
              <w:t>Support of extended K1 value range of (0..31) for unpaired spectrum</w:t>
            </w:r>
          </w:p>
        </w:tc>
        <w:tc>
          <w:tcPr>
            <w:tcW w:w="1417" w:type="dxa"/>
            <w:tcBorders>
              <w:top w:val="single" w:sz="4" w:space="0" w:color="auto"/>
              <w:left w:val="single" w:sz="4" w:space="0" w:color="auto"/>
              <w:bottom w:val="single" w:sz="4" w:space="0" w:color="auto"/>
              <w:right w:val="single" w:sz="4" w:space="0" w:color="auto"/>
            </w:tcBorders>
          </w:tcPr>
          <w:p w14:paraId="4B54756E"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p>
        </w:tc>
        <w:tc>
          <w:tcPr>
            <w:tcW w:w="2552" w:type="dxa"/>
            <w:tcBorders>
              <w:top w:val="single" w:sz="4" w:space="0" w:color="auto"/>
              <w:left w:val="single" w:sz="4" w:space="0" w:color="auto"/>
              <w:bottom w:val="single" w:sz="4" w:space="0" w:color="auto"/>
              <w:right w:val="single" w:sz="4" w:space="0" w:color="auto"/>
            </w:tcBorders>
          </w:tcPr>
          <w:p w14:paraId="0229DC3D" w14:textId="77777777" w:rsidR="00992377" w:rsidRPr="005834B0" w:rsidRDefault="00992377" w:rsidP="00BA12F2">
            <w:pPr>
              <w:pStyle w:val="TAL"/>
              <w:keepNext w:val="0"/>
              <w:keepLines w:val="0"/>
              <w:adjustRightInd w:val="0"/>
              <w:snapToGrid w:val="0"/>
              <w:spacing w:beforeLines="0" w:afterLines="0"/>
              <w:rPr>
                <w:rFonts w:ascii="Times New Roman" w:hAnsi="Times New Roman"/>
                <w:i/>
                <w:iCs/>
                <w:noProof/>
                <w:color w:val="FF0000"/>
                <w:sz w:val="20"/>
                <w:highlight w:val="yellow"/>
                <w:lang w:eastAsia="en-GB"/>
              </w:rPr>
            </w:pPr>
            <w:r w:rsidRPr="005834B0">
              <w:rPr>
                <w:rFonts w:ascii="Times New Roman" w:hAnsi="Times New Roman"/>
                <w:i/>
                <w:iCs/>
                <w:noProof/>
                <w:color w:val="FF0000"/>
                <w:sz w:val="20"/>
                <w:lang w:eastAsia="en-GB"/>
              </w:rPr>
              <w:t>k1-RangeExtensionATG-r18</w:t>
            </w:r>
          </w:p>
        </w:tc>
        <w:tc>
          <w:tcPr>
            <w:tcW w:w="1843" w:type="dxa"/>
            <w:tcBorders>
              <w:top w:val="single" w:sz="4" w:space="0" w:color="auto"/>
              <w:left w:val="single" w:sz="4" w:space="0" w:color="auto"/>
              <w:bottom w:val="single" w:sz="4" w:space="0" w:color="auto"/>
              <w:right w:val="single" w:sz="4" w:space="0" w:color="auto"/>
            </w:tcBorders>
          </w:tcPr>
          <w:p w14:paraId="1AF2AEBC" w14:textId="77777777" w:rsidR="00992377" w:rsidRPr="005834B0" w:rsidRDefault="00992377" w:rsidP="00BA12F2">
            <w:pPr>
              <w:pStyle w:val="TAL"/>
              <w:keepNext w:val="0"/>
              <w:keepLines w:val="0"/>
              <w:adjustRightInd w:val="0"/>
              <w:snapToGrid w:val="0"/>
              <w:spacing w:beforeLines="0" w:afterLines="0"/>
              <w:rPr>
                <w:rFonts w:ascii="Times New Roman" w:hAnsi="Times New Roman"/>
                <w:i/>
                <w:iCs/>
                <w:noProof/>
                <w:color w:val="FF0000"/>
                <w:sz w:val="20"/>
                <w:highlight w:val="yellow"/>
                <w:lang w:eastAsia="en-GB"/>
              </w:rPr>
            </w:pPr>
            <w:r w:rsidRPr="005834B0">
              <w:rPr>
                <w:rFonts w:ascii="Times New Roman" w:hAnsi="Times New Roman"/>
                <w:i/>
                <w:iCs/>
                <w:color w:val="FF0000"/>
                <w:sz w:val="20"/>
              </w:rPr>
              <w:t>Phy-ParametersFR1</w:t>
            </w:r>
          </w:p>
        </w:tc>
        <w:tc>
          <w:tcPr>
            <w:tcW w:w="1701" w:type="dxa"/>
            <w:tcBorders>
              <w:top w:val="single" w:sz="4" w:space="0" w:color="auto"/>
              <w:left w:val="single" w:sz="4" w:space="0" w:color="auto"/>
              <w:bottom w:val="single" w:sz="4" w:space="0" w:color="auto"/>
              <w:right w:val="single" w:sz="4" w:space="0" w:color="auto"/>
            </w:tcBorders>
          </w:tcPr>
          <w:p w14:paraId="6B2619F8"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color w:val="000000"/>
                <w:sz w:val="20"/>
              </w:rPr>
              <w:t>TDD only</w:t>
            </w:r>
          </w:p>
        </w:tc>
        <w:tc>
          <w:tcPr>
            <w:tcW w:w="1559" w:type="dxa"/>
            <w:tcBorders>
              <w:top w:val="single" w:sz="4" w:space="0" w:color="auto"/>
              <w:left w:val="single" w:sz="4" w:space="0" w:color="auto"/>
              <w:bottom w:val="single" w:sz="4" w:space="0" w:color="auto"/>
              <w:right w:val="single" w:sz="4" w:space="0" w:color="auto"/>
            </w:tcBorders>
          </w:tcPr>
          <w:p w14:paraId="2FBF2E5D"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color w:val="000000"/>
                <w:sz w:val="20"/>
              </w:rPr>
              <w:t>FR1 only</w:t>
            </w:r>
          </w:p>
        </w:tc>
        <w:tc>
          <w:tcPr>
            <w:tcW w:w="1276" w:type="dxa"/>
            <w:tcBorders>
              <w:top w:val="single" w:sz="4" w:space="0" w:color="auto"/>
              <w:left w:val="single" w:sz="4" w:space="0" w:color="auto"/>
              <w:bottom w:val="single" w:sz="4" w:space="0" w:color="auto"/>
              <w:right w:val="single" w:sz="4" w:space="0" w:color="auto"/>
            </w:tcBorders>
          </w:tcPr>
          <w:p w14:paraId="54627595"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p>
        </w:tc>
        <w:tc>
          <w:tcPr>
            <w:tcW w:w="2835" w:type="dxa"/>
            <w:tcBorders>
              <w:top w:val="single" w:sz="4" w:space="0" w:color="auto"/>
              <w:left w:val="single" w:sz="4" w:space="0" w:color="auto"/>
              <w:bottom w:val="single" w:sz="4" w:space="0" w:color="auto"/>
              <w:right w:val="single" w:sz="4" w:space="0" w:color="auto"/>
            </w:tcBorders>
          </w:tcPr>
          <w:p w14:paraId="6045C020" w14:textId="77777777" w:rsidR="00992377" w:rsidRPr="00A70141" w:rsidRDefault="00992377" w:rsidP="00BA12F2">
            <w:pPr>
              <w:pStyle w:val="TAL"/>
              <w:keepNext w:val="0"/>
              <w:keepLines w:val="0"/>
              <w:adjustRightInd w:val="0"/>
              <w:snapToGrid w:val="0"/>
              <w:spacing w:beforeLines="0" w:afterLines="0"/>
              <w:rPr>
                <w:rFonts w:ascii="Times New Roman" w:hAnsi="Times New Roman"/>
                <w:sz w:val="20"/>
              </w:rPr>
            </w:pPr>
            <w:r w:rsidRPr="00A70141">
              <w:rPr>
                <w:rFonts w:ascii="Times New Roman" w:hAnsi="Times New Roman"/>
                <w:color w:val="000000"/>
                <w:sz w:val="20"/>
              </w:rPr>
              <w:t>Optional with capability signalling</w:t>
            </w:r>
          </w:p>
        </w:tc>
      </w:tr>
    </w:tbl>
    <w:p w14:paraId="15DB1248" w14:textId="161B10C2" w:rsidR="002B52AC" w:rsidRDefault="002B52AC" w:rsidP="002B52AC">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bookmarkStart w:id="7" w:name="_Ref23496549"/>
      <w:bookmarkStart w:id="8" w:name="_Ref78875676"/>
      <w:bookmarkStart w:id="9" w:name="_Ref71203205"/>
      <w:bookmarkStart w:id="10" w:name="_Ref505867252"/>
      <w:bookmarkStart w:id="11" w:name="_Ref505807368"/>
      <w:bookmarkStart w:id="12" w:name="_Ref83712416"/>
      <w:bookmarkStart w:id="13" w:name="_Ref521313643"/>
      <w:bookmarkStart w:id="14" w:name="_Ref30757894"/>
      <w:bookmarkStart w:id="15" w:name="_Ref86784880"/>
      <w:bookmarkStart w:id="16" w:name="_Ref533782101"/>
      <w:bookmarkStart w:id="17" w:name="_Ref521162878"/>
      <w:bookmarkStart w:id="18" w:name="_Ref60817485"/>
      <w:bookmarkStart w:id="19" w:name="_Ref53491160"/>
      <w:bookmarkStart w:id="20" w:name="_Ref53511278"/>
      <w:r>
        <w:rPr>
          <w:rFonts w:ascii="Times New Roman" w:hAnsi="Times New Roman"/>
          <w:sz w:val="28"/>
          <w:szCs w:val="28"/>
          <w:lang w:eastAsia="zh-CN"/>
        </w:rPr>
        <w:t>References</w:t>
      </w:r>
    </w:p>
    <w:p w14:paraId="21836B80" w14:textId="229B0B8A" w:rsidR="006A3B9B" w:rsidRPr="0006542A" w:rsidRDefault="00B13B99" w:rsidP="005F1169">
      <w:pPr>
        <w:pStyle w:val="aff9"/>
        <w:numPr>
          <w:ilvl w:val="0"/>
          <w:numId w:val="13"/>
        </w:numPr>
        <w:adjustRightInd w:val="0"/>
        <w:snapToGrid w:val="0"/>
        <w:spacing w:before="120" w:after="120"/>
        <w:ind w:firstLineChars="0"/>
        <w:rPr>
          <w:rFonts w:cs="Times New Roman"/>
          <w:sz w:val="20"/>
          <w:szCs w:val="20"/>
        </w:rPr>
      </w:pPr>
      <w:r w:rsidRPr="0006542A">
        <w:rPr>
          <w:rFonts w:cs="Times New Roman"/>
          <w:sz w:val="20"/>
          <w:szCs w:val="20"/>
        </w:rPr>
        <w:t>R1-2</w:t>
      </w:r>
      <w:r w:rsidR="00155D25" w:rsidRPr="0006542A">
        <w:rPr>
          <w:rFonts w:cs="Times New Roman"/>
          <w:sz w:val="20"/>
          <w:szCs w:val="20"/>
        </w:rPr>
        <w:t>400021</w:t>
      </w:r>
      <w:r w:rsidR="00913988" w:rsidRPr="0006542A">
        <w:rPr>
          <w:rFonts w:cs="Times New Roman"/>
          <w:sz w:val="20"/>
          <w:szCs w:val="20"/>
        </w:rPr>
        <w:t>(</w:t>
      </w:r>
      <w:r w:rsidRPr="0006542A">
        <w:rPr>
          <w:rFonts w:cs="Times New Roman"/>
          <w:sz w:val="20"/>
          <w:szCs w:val="20"/>
        </w:rPr>
        <w:t>R</w:t>
      </w:r>
      <w:r w:rsidR="00EB5CBA" w:rsidRPr="0006542A">
        <w:rPr>
          <w:rFonts w:cs="Times New Roman"/>
          <w:sz w:val="20"/>
          <w:szCs w:val="20"/>
        </w:rPr>
        <w:t>4</w:t>
      </w:r>
      <w:r w:rsidRPr="0006542A">
        <w:rPr>
          <w:rFonts w:cs="Times New Roman"/>
          <w:sz w:val="20"/>
          <w:szCs w:val="20"/>
        </w:rPr>
        <w:t>-</w:t>
      </w:r>
      <w:r w:rsidR="00155D25" w:rsidRPr="0006542A">
        <w:rPr>
          <w:rFonts w:cs="Times New Roman"/>
          <w:sz w:val="20"/>
          <w:szCs w:val="20"/>
        </w:rPr>
        <w:t>2321609</w:t>
      </w:r>
      <w:r w:rsidR="00913988" w:rsidRPr="0006542A">
        <w:rPr>
          <w:rFonts w:cs="Times New Roman"/>
          <w:sz w:val="20"/>
          <w:szCs w:val="20"/>
        </w:rPr>
        <w:t>)</w:t>
      </w:r>
      <w:r w:rsidRPr="0006542A">
        <w:rPr>
          <w:rFonts w:cs="Times New Roman"/>
          <w:sz w:val="20"/>
          <w:szCs w:val="20"/>
        </w:rPr>
        <w:t>,</w:t>
      </w:r>
      <w:r w:rsidR="00EB5CBA" w:rsidRPr="0006542A">
        <w:t xml:space="preserve"> </w:t>
      </w:r>
      <w:r w:rsidR="00155D25" w:rsidRPr="0006542A">
        <w:rPr>
          <w:rFonts w:cs="Times New Roman"/>
          <w:sz w:val="20"/>
          <w:szCs w:val="20"/>
        </w:rPr>
        <w:t>LS on Layer-1/2/3 ATG UE features and koffset mechanism</w:t>
      </w:r>
      <w:r w:rsidRPr="0006542A">
        <w:rPr>
          <w:rFonts w:cs="Times New Roman"/>
          <w:sz w:val="20"/>
          <w:szCs w:val="20"/>
        </w:rPr>
        <w:t>.</w:t>
      </w:r>
    </w:p>
    <w:p w14:paraId="1EE6A0E7" w14:textId="75C40CD7" w:rsidR="00044819" w:rsidRPr="0006542A" w:rsidRDefault="00C077E6" w:rsidP="005F1169">
      <w:pPr>
        <w:pStyle w:val="aff9"/>
        <w:numPr>
          <w:ilvl w:val="0"/>
          <w:numId w:val="13"/>
        </w:numPr>
        <w:adjustRightInd w:val="0"/>
        <w:snapToGrid w:val="0"/>
        <w:spacing w:before="120" w:after="120"/>
        <w:ind w:firstLineChars="0"/>
        <w:rPr>
          <w:rFonts w:cs="Times New Roman"/>
          <w:sz w:val="20"/>
          <w:szCs w:val="20"/>
        </w:rPr>
      </w:pPr>
      <w:r w:rsidRPr="0006542A">
        <w:rPr>
          <w:rFonts w:cs="Times New Roman"/>
          <w:sz w:val="20"/>
          <w:szCs w:val="20"/>
        </w:rPr>
        <w:t>R4-</w:t>
      </w:r>
      <w:r w:rsidR="009014CB" w:rsidRPr="0006542A">
        <w:rPr>
          <w:rFonts w:cs="Times New Roman"/>
          <w:sz w:val="20"/>
          <w:szCs w:val="20"/>
        </w:rPr>
        <w:t>2321608</w:t>
      </w:r>
      <w:r w:rsidRPr="0006542A">
        <w:rPr>
          <w:rFonts w:cs="Times New Roman"/>
          <w:sz w:val="20"/>
          <w:szCs w:val="20"/>
        </w:rPr>
        <w:t xml:space="preserve">, </w:t>
      </w:r>
      <w:r w:rsidR="009014CB" w:rsidRPr="0006542A">
        <w:rPr>
          <w:rFonts w:cs="Times New Roman"/>
          <w:sz w:val="20"/>
          <w:szCs w:val="20"/>
        </w:rPr>
        <w:t>WF on RRM requirements for NR ATG, CMCC</w:t>
      </w:r>
      <w:r w:rsidRPr="0006542A">
        <w:rPr>
          <w:rFonts w:cs="Times New Roman"/>
          <w:sz w:val="20"/>
          <w:szCs w:val="20"/>
        </w:rPr>
        <w:t>.</w:t>
      </w:r>
    </w:p>
    <w:p w14:paraId="77881F04" w14:textId="5B4FB014" w:rsidR="00EB51CC" w:rsidRPr="005F1169" w:rsidRDefault="00F2610A" w:rsidP="00CB6BC8">
      <w:pPr>
        <w:pStyle w:val="aff9"/>
        <w:numPr>
          <w:ilvl w:val="0"/>
          <w:numId w:val="13"/>
        </w:numPr>
        <w:adjustRightInd w:val="0"/>
        <w:snapToGrid w:val="0"/>
        <w:spacing w:before="120" w:after="120"/>
        <w:ind w:firstLineChars="0"/>
        <w:rPr>
          <w:rFonts w:cs="Times New Roman"/>
          <w:sz w:val="20"/>
          <w:szCs w:val="20"/>
        </w:rPr>
      </w:pPr>
      <w:r w:rsidRPr="0006542A">
        <w:rPr>
          <w:rFonts w:cs="Times New Roman"/>
          <w:sz w:val="20"/>
          <w:szCs w:val="20"/>
        </w:rPr>
        <w:t>3GPP TS 38.331 V18.0.0 (2023-12)</w:t>
      </w:r>
      <w:r w:rsidR="005135B2" w:rsidRPr="0006542A">
        <w:rPr>
          <w:rFonts w:cs="Times New Roman"/>
          <w:sz w:val="20"/>
          <w:szCs w:val="20"/>
        </w:rPr>
        <w:t>, NR Radio Resource Control (RRC) protocol specification (Release 18)</w:t>
      </w:r>
      <w:r w:rsidR="005135B2" w:rsidRPr="0006542A">
        <w:rPr>
          <w:rFonts w:cs="Times New Roman" w:hint="eastAsia"/>
          <w:sz w:val="20"/>
          <w:szCs w:val="20"/>
        </w:rPr>
        <w:t>.</w:t>
      </w:r>
    </w:p>
    <w:p w14:paraId="199754E0" w14:textId="43F9D8CC" w:rsidR="00EB51CC" w:rsidRDefault="00EB51CC" w:rsidP="00EB51CC">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lastRenderedPageBreak/>
        <w:t>Annex A</w:t>
      </w:r>
    </w:p>
    <w:p w14:paraId="7E11A0D9" w14:textId="77777777" w:rsidR="00EB51CC" w:rsidRPr="00EB51CC" w:rsidRDefault="00EB51CC" w:rsidP="00EB51CC">
      <w:pPr>
        <w:tabs>
          <w:tab w:val="left" w:pos="1134"/>
        </w:tabs>
        <w:spacing w:before="120" w:after="120"/>
        <w:rPr>
          <w:rFonts w:ascii="Times New Roman" w:eastAsia="等线" w:hAnsi="Times New Roman" w:cs="Times New Roman"/>
          <w:iCs/>
          <w:sz w:val="20"/>
          <w:szCs w:val="20"/>
        </w:rPr>
      </w:pPr>
      <w:r w:rsidRPr="00EB51CC">
        <w:rPr>
          <w:rFonts w:ascii="Times New Roman" w:eastAsia="等线" w:hAnsi="Times New Roman" w:cs="Times New Roman"/>
          <w:b/>
          <w:bCs/>
          <w:iCs/>
          <w:sz w:val="20"/>
          <w:szCs w:val="20"/>
        </w:rPr>
        <w:t>[RAN4]</w:t>
      </w:r>
      <w:r w:rsidRPr="00EB51CC">
        <w:rPr>
          <w:rFonts w:ascii="Times New Roman" w:eastAsia="等线" w:hAnsi="Times New Roman" w:cs="Times New Roman"/>
          <w:iCs/>
          <w:sz w:val="20"/>
          <w:szCs w:val="20"/>
        </w:rPr>
        <w:t xml:space="preserve"> </w:t>
      </w:r>
    </w:p>
    <w:p w14:paraId="05549993" w14:textId="77777777" w:rsidR="00EB51CC" w:rsidRPr="00EB51CC" w:rsidRDefault="00EB51CC" w:rsidP="00EB51CC">
      <w:pPr>
        <w:tabs>
          <w:tab w:val="left" w:pos="1134"/>
        </w:tabs>
        <w:spacing w:before="120" w:after="120"/>
        <w:rPr>
          <w:rFonts w:ascii="Times New Roman" w:eastAsia="等线" w:hAnsi="Times New Roman" w:cs="Times New Roman"/>
          <w:iCs/>
          <w:sz w:val="20"/>
          <w:szCs w:val="20"/>
        </w:rPr>
      </w:pPr>
      <w:r w:rsidRPr="00EB51CC">
        <w:rPr>
          <w:rFonts w:ascii="Times New Roman" w:eastAsia="等线" w:hAnsi="Times New Roman" w:cs="Times New Roman"/>
          <w:iCs/>
          <w:sz w:val="20"/>
          <w:szCs w:val="20"/>
        </w:rPr>
        <w:t>Following Layer-1 new ATG UE features should be introduced.</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103"/>
        <w:gridCol w:w="1560"/>
        <w:gridCol w:w="1134"/>
        <w:gridCol w:w="1559"/>
        <w:gridCol w:w="1417"/>
        <w:gridCol w:w="1276"/>
        <w:gridCol w:w="992"/>
        <w:gridCol w:w="993"/>
        <w:gridCol w:w="1842"/>
        <w:gridCol w:w="1843"/>
        <w:gridCol w:w="1276"/>
      </w:tblGrid>
      <w:tr w:rsidR="00EB51CC" w:rsidRPr="00EB51CC" w14:paraId="4EFF97B8" w14:textId="77777777" w:rsidTr="008A79C7">
        <w:trPr>
          <w:trHeight w:val="20"/>
        </w:trPr>
        <w:tc>
          <w:tcPr>
            <w:tcW w:w="1559" w:type="dxa"/>
            <w:shd w:val="clear" w:color="auto" w:fill="auto"/>
          </w:tcPr>
          <w:p w14:paraId="19944FE1" w14:textId="77777777" w:rsidR="00EB51CC" w:rsidRPr="00EB51CC" w:rsidRDefault="00EB51CC" w:rsidP="00EB51CC">
            <w:pPr>
              <w:overflowPunct w:val="0"/>
              <w:autoSpaceDE w:val="0"/>
              <w:autoSpaceDN w:val="0"/>
              <w:adjustRightInd w:val="0"/>
              <w:jc w:val="center"/>
              <w:textAlignment w:val="baseline"/>
              <w:rPr>
                <w:rFonts w:ascii="Times New Roman" w:eastAsia="Times New Roman" w:hAnsi="Times New Roman" w:cs="Times New Roman"/>
                <w:b/>
                <w:color w:val="000000"/>
                <w:sz w:val="20"/>
                <w:szCs w:val="20"/>
              </w:rPr>
            </w:pPr>
            <w:r w:rsidRPr="00EB51CC">
              <w:rPr>
                <w:rFonts w:ascii="Times New Roman" w:eastAsia="Times New Roman" w:hAnsi="Times New Roman" w:cs="Times New Roman"/>
                <w:b/>
                <w:color w:val="000000"/>
                <w:sz w:val="20"/>
                <w:szCs w:val="20"/>
              </w:rPr>
              <w:t>Feature group</w:t>
            </w:r>
          </w:p>
        </w:tc>
        <w:tc>
          <w:tcPr>
            <w:tcW w:w="5103" w:type="dxa"/>
            <w:shd w:val="clear" w:color="auto" w:fill="auto"/>
          </w:tcPr>
          <w:p w14:paraId="69C93C68" w14:textId="77777777" w:rsidR="00EB51CC" w:rsidRPr="00EB51CC" w:rsidRDefault="00EB51CC" w:rsidP="00EB51CC">
            <w:pPr>
              <w:overflowPunct w:val="0"/>
              <w:autoSpaceDE w:val="0"/>
              <w:autoSpaceDN w:val="0"/>
              <w:adjustRightInd w:val="0"/>
              <w:jc w:val="center"/>
              <w:textAlignment w:val="baseline"/>
              <w:rPr>
                <w:rFonts w:ascii="Times New Roman" w:hAnsi="Times New Roman" w:cs="Times New Roman"/>
                <w:b/>
                <w:color w:val="000000"/>
                <w:sz w:val="20"/>
                <w:szCs w:val="20"/>
              </w:rPr>
            </w:pPr>
            <w:r w:rsidRPr="00EB51CC">
              <w:rPr>
                <w:rFonts w:ascii="Times New Roman" w:eastAsia="Times New Roman" w:hAnsi="Times New Roman" w:cs="Times New Roman"/>
                <w:b/>
                <w:color w:val="000000"/>
                <w:sz w:val="20"/>
                <w:szCs w:val="20"/>
              </w:rPr>
              <w:t>Components</w:t>
            </w:r>
          </w:p>
          <w:p w14:paraId="681F6188" w14:textId="77777777" w:rsidR="00EB51CC" w:rsidRPr="00EB51CC" w:rsidRDefault="00EB51CC" w:rsidP="00EB51CC">
            <w:pPr>
              <w:overflowPunct w:val="0"/>
              <w:autoSpaceDE w:val="0"/>
              <w:autoSpaceDN w:val="0"/>
              <w:adjustRightInd w:val="0"/>
              <w:jc w:val="center"/>
              <w:textAlignment w:val="baseline"/>
              <w:rPr>
                <w:rFonts w:ascii="Times New Roman" w:hAnsi="Times New Roman" w:cs="Times New Roman"/>
                <w:b/>
                <w:color w:val="000000"/>
                <w:sz w:val="20"/>
                <w:szCs w:val="20"/>
              </w:rPr>
            </w:pPr>
          </w:p>
        </w:tc>
        <w:tc>
          <w:tcPr>
            <w:tcW w:w="1560" w:type="dxa"/>
            <w:shd w:val="clear" w:color="auto" w:fill="auto"/>
          </w:tcPr>
          <w:p w14:paraId="16ED92FF" w14:textId="77777777" w:rsidR="00EB51CC" w:rsidRPr="00EB51CC" w:rsidRDefault="00EB51CC" w:rsidP="00EB51CC">
            <w:pPr>
              <w:overflowPunct w:val="0"/>
              <w:autoSpaceDE w:val="0"/>
              <w:autoSpaceDN w:val="0"/>
              <w:adjustRightInd w:val="0"/>
              <w:jc w:val="center"/>
              <w:textAlignment w:val="baseline"/>
              <w:rPr>
                <w:rFonts w:ascii="Times New Roman" w:eastAsia="Times New Roman" w:hAnsi="Times New Roman" w:cs="Times New Roman"/>
                <w:b/>
                <w:color w:val="000000"/>
                <w:sz w:val="20"/>
                <w:szCs w:val="20"/>
              </w:rPr>
            </w:pPr>
            <w:r w:rsidRPr="00EB51CC">
              <w:rPr>
                <w:rFonts w:ascii="Times New Roman" w:eastAsia="Times New Roman" w:hAnsi="Times New Roman" w:cs="Times New Roman"/>
                <w:b/>
                <w:color w:val="000000"/>
                <w:sz w:val="20"/>
                <w:szCs w:val="20"/>
              </w:rPr>
              <w:t>Prerequisite feature groups</w:t>
            </w:r>
          </w:p>
        </w:tc>
        <w:tc>
          <w:tcPr>
            <w:tcW w:w="1134" w:type="dxa"/>
            <w:shd w:val="clear" w:color="auto" w:fill="auto"/>
          </w:tcPr>
          <w:p w14:paraId="332D0C64" w14:textId="77777777" w:rsidR="00EB51CC" w:rsidRPr="00EB51CC" w:rsidRDefault="00EB51CC" w:rsidP="00EB51CC">
            <w:pPr>
              <w:overflowPunct w:val="0"/>
              <w:autoSpaceDE w:val="0"/>
              <w:autoSpaceDN w:val="0"/>
              <w:adjustRightInd w:val="0"/>
              <w:jc w:val="center"/>
              <w:textAlignment w:val="baseline"/>
              <w:rPr>
                <w:rFonts w:ascii="Times New Roman" w:eastAsia="Times New Roman" w:hAnsi="Times New Roman" w:cs="Times New Roman"/>
                <w:b/>
                <w:color w:val="000000"/>
                <w:sz w:val="20"/>
                <w:szCs w:val="20"/>
              </w:rPr>
            </w:pPr>
            <w:r w:rsidRPr="00EB51CC">
              <w:rPr>
                <w:rFonts w:ascii="Times New Roman" w:eastAsia="Times New Roman" w:hAnsi="Times New Roman" w:cs="Times New Roman"/>
                <w:b/>
                <w:color w:val="000000"/>
                <w:sz w:val="20"/>
                <w:szCs w:val="20"/>
              </w:rPr>
              <w:t>Need for the gNB to know if the feature is supported</w:t>
            </w:r>
          </w:p>
        </w:tc>
        <w:tc>
          <w:tcPr>
            <w:tcW w:w="1559" w:type="dxa"/>
            <w:shd w:val="clear" w:color="auto" w:fill="auto"/>
          </w:tcPr>
          <w:p w14:paraId="6241244E" w14:textId="77777777" w:rsidR="00EB51CC" w:rsidRPr="00EB51CC" w:rsidRDefault="00EB51CC" w:rsidP="00EB51CC">
            <w:pPr>
              <w:overflowPunct w:val="0"/>
              <w:autoSpaceDE w:val="0"/>
              <w:autoSpaceDN w:val="0"/>
              <w:adjustRightInd w:val="0"/>
              <w:jc w:val="center"/>
              <w:textAlignment w:val="baseline"/>
              <w:rPr>
                <w:rFonts w:ascii="Times New Roman" w:eastAsia="Times New Roman" w:hAnsi="Times New Roman" w:cs="Times New Roman"/>
                <w:b/>
                <w:color w:val="000000"/>
                <w:sz w:val="20"/>
                <w:szCs w:val="20"/>
              </w:rPr>
            </w:pPr>
            <w:r w:rsidRPr="00EB51CC">
              <w:rPr>
                <w:rFonts w:ascii="Times New Roman" w:eastAsia="Gulim" w:hAnsi="Times New Roman" w:cs="Times New Roman"/>
                <w:b/>
                <w:color w:val="000000"/>
                <w:sz w:val="20"/>
                <w:szCs w:val="20"/>
              </w:rPr>
              <w:t xml:space="preserve">Applicable to </w:t>
            </w:r>
            <w:r w:rsidRPr="00EB51CC">
              <w:rPr>
                <w:rFonts w:ascii="Times New Roman" w:eastAsia="Times New Roman" w:hAnsi="Times New Roman" w:cs="Times New Roman"/>
                <w:b/>
                <w:color w:val="000000"/>
                <w:sz w:val="20"/>
                <w:szCs w:val="20"/>
              </w:rPr>
              <w:t>the capability signalling exchange between UEs (V2X WI only)”.</w:t>
            </w:r>
          </w:p>
        </w:tc>
        <w:tc>
          <w:tcPr>
            <w:tcW w:w="1417" w:type="dxa"/>
          </w:tcPr>
          <w:p w14:paraId="781AA537" w14:textId="77777777" w:rsidR="00EB51CC" w:rsidRPr="00EB51CC" w:rsidRDefault="00EB51CC" w:rsidP="00EB51CC">
            <w:pPr>
              <w:rPr>
                <w:rFonts w:ascii="Times New Roman" w:hAnsi="Times New Roman" w:cs="Times New Roman"/>
                <w:b/>
                <w:color w:val="000000"/>
                <w:sz w:val="20"/>
                <w:szCs w:val="20"/>
              </w:rPr>
            </w:pPr>
            <w:r w:rsidRPr="00EB51CC">
              <w:rPr>
                <w:rFonts w:ascii="Times New Roman" w:hAnsi="Times New Roman" w:cs="Times New Roman"/>
                <w:b/>
                <w:color w:val="000000"/>
                <w:sz w:val="20"/>
                <w:szCs w:val="20"/>
              </w:rPr>
              <w:t>Consequence if the feature is not supported by the UE</w:t>
            </w:r>
          </w:p>
        </w:tc>
        <w:tc>
          <w:tcPr>
            <w:tcW w:w="1276" w:type="dxa"/>
            <w:shd w:val="clear" w:color="auto" w:fill="auto"/>
          </w:tcPr>
          <w:p w14:paraId="314129DD" w14:textId="77777777" w:rsidR="00EB51CC" w:rsidRPr="00EB51CC" w:rsidRDefault="00EB51CC" w:rsidP="00EB51CC">
            <w:pPr>
              <w:rPr>
                <w:rFonts w:ascii="Times New Roman" w:hAnsi="Times New Roman" w:cs="Times New Roman"/>
                <w:b/>
                <w:color w:val="000000"/>
                <w:sz w:val="20"/>
                <w:szCs w:val="20"/>
              </w:rPr>
            </w:pPr>
            <w:r w:rsidRPr="00EB51CC">
              <w:rPr>
                <w:rFonts w:ascii="Times New Roman" w:hAnsi="Times New Roman" w:cs="Times New Roman"/>
                <w:b/>
                <w:color w:val="000000"/>
                <w:sz w:val="20"/>
                <w:szCs w:val="20"/>
              </w:rPr>
              <w:t>Type</w:t>
            </w:r>
          </w:p>
          <w:p w14:paraId="2BEFD8EE" w14:textId="77777777" w:rsidR="00EB51CC" w:rsidRPr="00EB51CC" w:rsidRDefault="00EB51CC" w:rsidP="00EB51CC">
            <w:pPr>
              <w:rPr>
                <w:rFonts w:ascii="Times New Roman" w:hAnsi="Times New Roman" w:cs="Times New Roman"/>
                <w:b/>
                <w:color w:val="000000"/>
                <w:sz w:val="20"/>
                <w:szCs w:val="20"/>
              </w:rPr>
            </w:pPr>
            <w:r w:rsidRPr="00EB51CC">
              <w:rPr>
                <w:rFonts w:ascii="Times New Roman" w:hAnsi="Times New Roman" w:cs="Times New Roman"/>
                <w:b/>
                <w:color w:val="000000"/>
                <w:sz w:val="20"/>
                <w:szCs w:val="20"/>
              </w:rPr>
              <w:t>(the ‘type’ definition from UE features should be based on the granularity of 1) Per UE or 2) Per Band or 3) Per BC or 4) Per FS or 5) Per FSPC)</w:t>
            </w:r>
          </w:p>
        </w:tc>
        <w:tc>
          <w:tcPr>
            <w:tcW w:w="992" w:type="dxa"/>
            <w:shd w:val="clear" w:color="auto" w:fill="auto"/>
          </w:tcPr>
          <w:p w14:paraId="2B61ED8A" w14:textId="77777777" w:rsidR="00EB51CC" w:rsidRPr="00EB51CC" w:rsidRDefault="00EB51CC" w:rsidP="00EB51CC">
            <w:pPr>
              <w:overflowPunct w:val="0"/>
              <w:autoSpaceDE w:val="0"/>
              <w:autoSpaceDN w:val="0"/>
              <w:adjustRightInd w:val="0"/>
              <w:jc w:val="center"/>
              <w:textAlignment w:val="baseline"/>
              <w:rPr>
                <w:rFonts w:ascii="Times New Roman" w:eastAsia="Times New Roman" w:hAnsi="Times New Roman" w:cs="Times New Roman"/>
                <w:b/>
                <w:color w:val="000000"/>
                <w:sz w:val="20"/>
                <w:szCs w:val="20"/>
              </w:rPr>
            </w:pPr>
            <w:r w:rsidRPr="00EB51CC">
              <w:rPr>
                <w:rFonts w:ascii="Times New Roman" w:eastAsia="Times New Roman" w:hAnsi="Times New Roman" w:cs="Times New Roman"/>
                <w:b/>
                <w:color w:val="000000"/>
                <w:sz w:val="20"/>
                <w:szCs w:val="20"/>
              </w:rPr>
              <w:t>Need of FDD/TDD differentiation</w:t>
            </w:r>
          </w:p>
        </w:tc>
        <w:tc>
          <w:tcPr>
            <w:tcW w:w="993" w:type="dxa"/>
            <w:shd w:val="clear" w:color="auto" w:fill="auto"/>
          </w:tcPr>
          <w:p w14:paraId="66E2A11F" w14:textId="77777777" w:rsidR="00EB51CC" w:rsidRPr="00EB51CC" w:rsidRDefault="00EB51CC" w:rsidP="00EB51CC">
            <w:pPr>
              <w:overflowPunct w:val="0"/>
              <w:autoSpaceDE w:val="0"/>
              <w:autoSpaceDN w:val="0"/>
              <w:adjustRightInd w:val="0"/>
              <w:jc w:val="center"/>
              <w:textAlignment w:val="baseline"/>
              <w:rPr>
                <w:rFonts w:ascii="Times New Roman" w:eastAsia="Times New Roman" w:hAnsi="Times New Roman" w:cs="Times New Roman"/>
                <w:b/>
                <w:color w:val="000000"/>
                <w:sz w:val="20"/>
                <w:szCs w:val="20"/>
              </w:rPr>
            </w:pPr>
            <w:r w:rsidRPr="00EB51CC">
              <w:rPr>
                <w:rFonts w:ascii="Times New Roman" w:eastAsia="Times New Roman" w:hAnsi="Times New Roman" w:cs="Times New Roman"/>
                <w:b/>
                <w:color w:val="000000"/>
                <w:sz w:val="20"/>
                <w:szCs w:val="20"/>
              </w:rPr>
              <w:t>Need of FR1/FR2 differentiation</w:t>
            </w:r>
          </w:p>
        </w:tc>
        <w:tc>
          <w:tcPr>
            <w:tcW w:w="1842" w:type="dxa"/>
          </w:tcPr>
          <w:p w14:paraId="1F4C01DF" w14:textId="77777777" w:rsidR="00EB51CC" w:rsidRPr="00EB51CC" w:rsidRDefault="00EB51CC" w:rsidP="00EB51CC">
            <w:pPr>
              <w:overflowPunct w:val="0"/>
              <w:autoSpaceDE w:val="0"/>
              <w:autoSpaceDN w:val="0"/>
              <w:adjustRightInd w:val="0"/>
              <w:jc w:val="center"/>
              <w:textAlignment w:val="baseline"/>
              <w:rPr>
                <w:rFonts w:ascii="Times New Roman" w:eastAsia="Times New Roman" w:hAnsi="Times New Roman" w:cs="Times New Roman"/>
                <w:b/>
                <w:color w:val="000000"/>
                <w:sz w:val="20"/>
                <w:szCs w:val="20"/>
              </w:rPr>
            </w:pPr>
            <w:r w:rsidRPr="00EB51CC">
              <w:rPr>
                <w:rFonts w:ascii="Times New Roman" w:eastAsia="Times New Roman" w:hAnsi="Times New Roman" w:cs="Times New Roman"/>
                <w:b/>
                <w:color w:val="000000"/>
                <w:sz w:val="20"/>
                <w:szCs w:val="20"/>
              </w:rPr>
              <w:t>Capability interpretation for mixture of FDD/TDD and/or FR1/FR2</w:t>
            </w:r>
          </w:p>
        </w:tc>
        <w:tc>
          <w:tcPr>
            <w:tcW w:w="1843" w:type="dxa"/>
            <w:shd w:val="clear" w:color="auto" w:fill="auto"/>
          </w:tcPr>
          <w:p w14:paraId="41F09929" w14:textId="77777777" w:rsidR="00EB51CC" w:rsidRPr="00EB51CC" w:rsidRDefault="00EB51CC" w:rsidP="00EB51CC">
            <w:pPr>
              <w:overflowPunct w:val="0"/>
              <w:autoSpaceDE w:val="0"/>
              <w:autoSpaceDN w:val="0"/>
              <w:adjustRightInd w:val="0"/>
              <w:jc w:val="center"/>
              <w:textAlignment w:val="baseline"/>
              <w:rPr>
                <w:rFonts w:ascii="Times New Roman" w:eastAsia="Times New Roman" w:hAnsi="Times New Roman" w:cs="Times New Roman"/>
                <w:b/>
                <w:color w:val="000000"/>
                <w:sz w:val="20"/>
                <w:szCs w:val="20"/>
              </w:rPr>
            </w:pPr>
            <w:r w:rsidRPr="00EB51CC">
              <w:rPr>
                <w:rFonts w:ascii="Times New Roman" w:eastAsia="Times New Roman" w:hAnsi="Times New Roman" w:cs="Times New Roman"/>
                <w:b/>
                <w:color w:val="000000"/>
                <w:sz w:val="20"/>
                <w:szCs w:val="20"/>
              </w:rPr>
              <w:t>Note</w:t>
            </w:r>
          </w:p>
        </w:tc>
        <w:tc>
          <w:tcPr>
            <w:tcW w:w="1276" w:type="dxa"/>
            <w:shd w:val="clear" w:color="auto" w:fill="auto"/>
          </w:tcPr>
          <w:p w14:paraId="463088DE" w14:textId="77777777" w:rsidR="00EB51CC" w:rsidRPr="00EB51CC" w:rsidRDefault="00EB51CC" w:rsidP="00EB51CC">
            <w:pPr>
              <w:overflowPunct w:val="0"/>
              <w:autoSpaceDE w:val="0"/>
              <w:autoSpaceDN w:val="0"/>
              <w:adjustRightInd w:val="0"/>
              <w:jc w:val="center"/>
              <w:textAlignment w:val="baseline"/>
              <w:rPr>
                <w:rFonts w:ascii="Times New Roman" w:eastAsia="Times New Roman" w:hAnsi="Times New Roman" w:cs="Times New Roman"/>
                <w:b/>
                <w:color w:val="000000"/>
                <w:sz w:val="20"/>
                <w:szCs w:val="20"/>
              </w:rPr>
            </w:pPr>
            <w:r w:rsidRPr="00EB51CC">
              <w:rPr>
                <w:rFonts w:ascii="Times New Roman" w:eastAsia="Times New Roman" w:hAnsi="Times New Roman" w:cs="Times New Roman"/>
                <w:b/>
                <w:color w:val="000000"/>
                <w:sz w:val="20"/>
                <w:szCs w:val="20"/>
              </w:rPr>
              <w:t>Mandatory/Optional</w:t>
            </w:r>
          </w:p>
        </w:tc>
      </w:tr>
      <w:tr w:rsidR="00EB51CC" w:rsidRPr="00EB51CC" w14:paraId="3F314D31" w14:textId="77777777" w:rsidTr="008A79C7">
        <w:trPr>
          <w:trHeight w:val="2145"/>
        </w:trPr>
        <w:tc>
          <w:tcPr>
            <w:tcW w:w="1559" w:type="dxa"/>
            <w:shd w:val="clear" w:color="auto" w:fill="auto"/>
          </w:tcPr>
          <w:p w14:paraId="3E6C5D56" w14:textId="77777777" w:rsidR="00EB51CC" w:rsidRPr="00EB51CC" w:rsidRDefault="00EB51CC" w:rsidP="00EB51CC">
            <w:pPr>
              <w:rPr>
                <w:rFonts w:ascii="Times New Roman" w:hAnsi="Times New Roman" w:cs="Times New Roman"/>
                <w:color w:val="000000"/>
                <w:sz w:val="20"/>
                <w:szCs w:val="20"/>
                <w:lang w:eastAsia="en-GB"/>
              </w:rPr>
            </w:pPr>
            <w:r w:rsidRPr="00EB51CC">
              <w:rPr>
                <w:rFonts w:ascii="Times New Roman" w:hAnsi="Times New Roman" w:cs="Times New Roman"/>
                <w:color w:val="000000"/>
                <w:sz w:val="20"/>
                <w:szCs w:val="20"/>
              </w:rPr>
              <w:t>Uplink Time and Frequency pre-compensation and timing relationship enhancements</w:t>
            </w:r>
          </w:p>
        </w:tc>
        <w:tc>
          <w:tcPr>
            <w:tcW w:w="5103" w:type="dxa"/>
            <w:shd w:val="clear" w:color="auto" w:fill="auto"/>
          </w:tcPr>
          <w:p w14:paraId="5E4590DF"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Support of UE specific TA calculation based on its GNSS-acquired position and the indicated BS location.</w:t>
            </w:r>
          </w:p>
          <w:p w14:paraId="2DD392AE"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Support of open (i.e. UE autonomous TA estimation) and closed (i.e., received TA commands) loop control for TA update in RRC_CONNECTED state.</w:t>
            </w:r>
          </w:p>
          <w:p w14:paraId="28AEE49F"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Support of pre-compensation of the calculated TA in the uplink transmissions.</w:t>
            </w:r>
          </w:p>
          <w:p w14:paraId="58855F35"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Support of frequency pre-compensation to account for the Doppler experienced on the service link.</w:t>
            </w:r>
          </w:p>
          <w:p w14:paraId="0FA25DFB"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Support of determining timing of the scheduling of PUSCH, PUCCH and PDCCH ordered PRACH, CSI reference resource, transmission of aperiodic SRS activation of TA command, first PUSCH transmission in CG Type 2 with cell-specific K_offset if indicated.</w:t>
            </w:r>
          </w:p>
          <w:p w14:paraId="62FC24F9" w14:textId="77777777" w:rsidR="00EB51CC" w:rsidRPr="00EB51CC" w:rsidRDefault="00EB51CC" w:rsidP="00EB51CC">
            <w:pPr>
              <w:rPr>
                <w:rFonts w:ascii="Times New Roman" w:hAnsi="Times New Roman" w:cs="Times New Roman"/>
                <w:color w:val="000000"/>
                <w:sz w:val="20"/>
                <w:szCs w:val="20"/>
                <w:lang w:eastAsia="en-GB"/>
              </w:rPr>
            </w:pPr>
            <w:r w:rsidRPr="00EB51CC">
              <w:rPr>
                <w:rFonts w:ascii="Times New Roman" w:hAnsi="Times New Roman" w:cs="Times New Roman"/>
                <w:color w:val="000000"/>
                <w:sz w:val="20"/>
                <w:szCs w:val="20"/>
              </w:rPr>
              <w:t>Support of UE receiving cell-specific K_offset in system information.</w:t>
            </w:r>
          </w:p>
        </w:tc>
        <w:tc>
          <w:tcPr>
            <w:tcW w:w="1560" w:type="dxa"/>
            <w:shd w:val="clear" w:color="auto" w:fill="auto"/>
          </w:tcPr>
          <w:p w14:paraId="7E234689" w14:textId="77777777" w:rsidR="00EB51CC" w:rsidRPr="00EB51CC" w:rsidRDefault="00EB51CC" w:rsidP="00EB51CC">
            <w:pPr>
              <w:rPr>
                <w:rFonts w:ascii="Times New Roman" w:hAnsi="Times New Roman" w:cs="Times New Roman"/>
                <w:color w:val="000000"/>
                <w:sz w:val="20"/>
                <w:szCs w:val="20"/>
              </w:rPr>
            </w:pPr>
          </w:p>
        </w:tc>
        <w:tc>
          <w:tcPr>
            <w:tcW w:w="1134" w:type="dxa"/>
            <w:shd w:val="clear" w:color="auto" w:fill="auto"/>
          </w:tcPr>
          <w:p w14:paraId="2A55ED0F"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Yes</w:t>
            </w:r>
          </w:p>
        </w:tc>
        <w:tc>
          <w:tcPr>
            <w:tcW w:w="1559" w:type="dxa"/>
            <w:shd w:val="clear" w:color="auto" w:fill="auto"/>
          </w:tcPr>
          <w:p w14:paraId="3D741285"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N/A</w:t>
            </w:r>
          </w:p>
        </w:tc>
        <w:tc>
          <w:tcPr>
            <w:tcW w:w="1417" w:type="dxa"/>
          </w:tcPr>
          <w:p w14:paraId="28F74964"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If UE does not support this feature, the performance of ATG UE cannot be guaranteed due to the large propagation delay.</w:t>
            </w:r>
          </w:p>
        </w:tc>
        <w:tc>
          <w:tcPr>
            <w:tcW w:w="1276" w:type="dxa"/>
            <w:shd w:val="clear" w:color="auto" w:fill="auto"/>
          </w:tcPr>
          <w:p w14:paraId="31C74956"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Per UE</w:t>
            </w:r>
          </w:p>
        </w:tc>
        <w:tc>
          <w:tcPr>
            <w:tcW w:w="992" w:type="dxa"/>
            <w:shd w:val="clear" w:color="auto" w:fill="auto"/>
          </w:tcPr>
          <w:p w14:paraId="45553113"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No</w:t>
            </w:r>
          </w:p>
        </w:tc>
        <w:tc>
          <w:tcPr>
            <w:tcW w:w="993" w:type="dxa"/>
            <w:shd w:val="clear" w:color="auto" w:fill="auto"/>
          </w:tcPr>
          <w:p w14:paraId="70486EA8"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FR1 only</w:t>
            </w:r>
          </w:p>
        </w:tc>
        <w:tc>
          <w:tcPr>
            <w:tcW w:w="1842" w:type="dxa"/>
          </w:tcPr>
          <w:p w14:paraId="25CA0B2F"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N/A</w:t>
            </w:r>
          </w:p>
        </w:tc>
        <w:tc>
          <w:tcPr>
            <w:tcW w:w="1843" w:type="dxa"/>
            <w:shd w:val="clear" w:color="auto" w:fill="auto"/>
          </w:tcPr>
          <w:p w14:paraId="531BD022" w14:textId="77777777" w:rsidR="00EB51CC" w:rsidRPr="00EB51CC" w:rsidRDefault="00EB51CC" w:rsidP="00EB51CC">
            <w:pPr>
              <w:rPr>
                <w:rFonts w:ascii="Times New Roman" w:hAnsi="Times New Roman" w:cs="Times New Roman"/>
                <w:color w:val="000000"/>
                <w:sz w:val="20"/>
                <w:szCs w:val="20"/>
              </w:rPr>
            </w:pPr>
          </w:p>
        </w:tc>
        <w:tc>
          <w:tcPr>
            <w:tcW w:w="1276" w:type="dxa"/>
            <w:shd w:val="clear" w:color="auto" w:fill="auto"/>
          </w:tcPr>
          <w:p w14:paraId="6D0C7BD2"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Mandatory with capability signaling for UE supports NR communication via ATG</w:t>
            </w:r>
          </w:p>
          <w:p w14:paraId="12F70E78" w14:textId="77777777" w:rsidR="00EB51CC" w:rsidRPr="00EB51CC" w:rsidRDefault="00EB51CC" w:rsidP="00EB51CC">
            <w:pPr>
              <w:rPr>
                <w:rFonts w:ascii="Times New Roman" w:hAnsi="Times New Roman" w:cs="Times New Roman"/>
                <w:color w:val="000000"/>
                <w:sz w:val="20"/>
                <w:szCs w:val="20"/>
              </w:rPr>
            </w:pPr>
          </w:p>
          <w:p w14:paraId="2AF2C9B7" w14:textId="77777777" w:rsidR="00EB51CC" w:rsidRPr="00EB51CC" w:rsidRDefault="00EB51CC" w:rsidP="00EB51CC">
            <w:pPr>
              <w:rPr>
                <w:rFonts w:ascii="Times New Roman" w:hAnsi="Times New Roman" w:cs="Times New Roman"/>
                <w:color w:val="000000"/>
                <w:sz w:val="20"/>
                <w:szCs w:val="20"/>
              </w:rPr>
            </w:pPr>
          </w:p>
        </w:tc>
      </w:tr>
      <w:tr w:rsidR="00EB51CC" w:rsidRPr="00EB51CC" w14:paraId="42929220" w14:textId="77777777" w:rsidTr="00305BD9">
        <w:trPr>
          <w:trHeight w:val="1821"/>
        </w:trPr>
        <w:tc>
          <w:tcPr>
            <w:tcW w:w="1559" w:type="dxa"/>
            <w:shd w:val="clear" w:color="auto" w:fill="auto"/>
          </w:tcPr>
          <w:p w14:paraId="616B373A"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UE reporting of TA information</w:t>
            </w:r>
          </w:p>
        </w:tc>
        <w:tc>
          <w:tcPr>
            <w:tcW w:w="5103" w:type="dxa"/>
            <w:shd w:val="clear" w:color="auto" w:fill="auto"/>
          </w:tcPr>
          <w:p w14:paraId="69329185"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Support UE reporting of TA information</w:t>
            </w:r>
          </w:p>
        </w:tc>
        <w:tc>
          <w:tcPr>
            <w:tcW w:w="1560" w:type="dxa"/>
            <w:shd w:val="clear" w:color="auto" w:fill="auto"/>
          </w:tcPr>
          <w:p w14:paraId="54059945"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[Uplink Time and Frequency pre-compensation and timing relationship enhancements]</w:t>
            </w:r>
          </w:p>
        </w:tc>
        <w:tc>
          <w:tcPr>
            <w:tcW w:w="1134" w:type="dxa"/>
            <w:shd w:val="clear" w:color="auto" w:fill="auto"/>
          </w:tcPr>
          <w:p w14:paraId="75D5D2DD"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Yes</w:t>
            </w:r>
          </w:p>
        </w:tc>
        <w:tc>
          <w:tcPr>
            <w:tcW w:w="1559" w:type="dxa"/>
            <w:shd w:val="clear" w:color="auto" w:fill="auto"/>
          </w:tcPr>
          <w:p w14:paraId="27077095"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N/A</w:t>
            </w:r>
          </w:p>
        </w:tc>
        <w:tc>
          <w:tcPr>
            <w:tcW w:w="1417" w:type="dxa"/>
          </w:tcPr>
          <w:p w14:paraId="6376C730"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If UE does not support this feature, UE cannot report the TA information to network.</w:t>
            </w:r>
          </w:p>
        </w:tc>
        <w:tc>
          <w:tcPr>
            <w:tcW w:w="1276" w:type="dxa"/>
            <w:shd w:val="clear" w:color="auto" w:fill="auto"/>
          </w:tcPr>
          <w:p w14:paraId="5EC46C14"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Per UE</w:t>
            </w:r>
          </w:p>
        </w:tc>
        <w:tc>
          <w:tcPr>
            <w:tcW w:w="992" w:type="dxa"/>
            <w:shd w:val="clear" w:color="auto" w:fill="auto"/>
          </w:tcPr>
          <w:p w14:paraId="30732DD5"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No</w:t>
            </w:r>
          </w:p>
        </w:tc>
        <w:tc>
          <w:tcPr>
            <w:tcW w:w="993" w:type="dxa"/>
            <w:shd w:val="clear" w:color="auto" w:fill="auto"/>
          </w:tcPr>
          <w:p w14:paraId="4DB213CD"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FR1 only</w:t>
            </w:r>
          </w:p>
        </w:tc>
        <w:tc>
          <w:tcPr>
            <w:tcW w:w="1842" w:type="dxa"/>
          </w:tcPr>
          <w:p w14:paraId="43AE8DFE"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N/A</w:t>
            </w:r>
          </w:p>
        </w:tc>
        <w:tc>
          <w:tcPr>
            <w:tcW w:w="1843" w:type="dxa"/>
            <w:shd w:val="clear" w:color="auto" w:fill="auto"/>
          </w:tcPr>
          <w:p w14:paraId="1A8A200B" w14:textId="77777777" w:rsidR="00EB51CC" w:rsidRPr="00EB51CC" w:rsidRDefault="00EB51CC" w:rsidP="00EB51CC">
            <w:pPr>
              <w:rPr>
                <w:rFonts w:ascii="Times New Roman" w:hAnsi="Times New Roman" w:cs="Times New Roman"/>
                <w:color w:val="000000"/>
                <w:sz w:val="20"/>
                <w:szCs w:val="20"/>
              </w:rPr>
            </w:pPr>
          </w:p>
        </w:tc>
        <w:tc>
          <w:tcPr>
            <w:tcW w:w="1276" w:type="dxa"/>
            <w:shd w:val="clear" w:color="auto" w:fill="auto"/>
          </w:tcPr>
          <w:p w14:paraId="3FFC0682"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Optional with capability siganling</w:t>
            </w:r>
          </w:p>
        </w:tc>
      </w:tr>
      <w:tr w:rsidR="00EB51CC" w:rsidRPr="00EB51CC" w14:paraId="5F548837" w14:textId="77777777" w:rsidTr="00305BD9">
        <w:trPr>
          <w:trHeight w:val="1974"/>
        </w:trPr>
        <w:tc>
          <w:tcPr>
            <w:tcW w:w="1559" w:type="dxa"/>
            <w:shd w:val="clear" w:color="auto" w:fill="auto"/>
          </w:tcPr>
          <w:p w14:paraId="0BFCBADB"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Increasing the number of HARQ processes</w:t>
            </w:r>
          </w:p>
        </w:tc>
        <w:tc>
          <w:tcPr>
            <w:tcW w:w="5103" w:type="dxa"/>
            <w:shd w:val="clear" w:color="auto" w:fill="auto"/>
          </w:tcPr>
          <w:p w14:paraId="7999263E"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The maximal supported HARQ process number is X for UL and Y for DL</w:t>
            </w:r>
          </w:p>
        </w:tc>
        <w:tc>
          <w:tcPr>
            <w:tcW w:w="1560" w:type="dxa"/>
            <w:shd w:val="clear" w:color="auto" w:fill="auto"/>
          </w:tcPr>
          <w:p w14:paraId="035D0BB1" w14:textId="77777777" w:rsidR="00EB51CC" w:rsidRPr="00EB51CC" w:rsidRDefault="00EB51CC" w:rsidP="00EB51CC">
            <w:pPr>
              <w:rPr>
                <w:rFonts w:ascii="Times New Roman" w:hAnsi="Times New Roman" w:cs="Times New Roman"/>
                <w:color w:val="000000"/>
                <w:sz w:val="20"/>
                <w:szCs w:val="20"/>
              </w:rPr>
            </w:pPr>
          </w:p>
        </w:tc>
        <w:tc>
          <w:tcPr>
            <w:tcW w:w="1134" w:type="dxa"/>
            <w:shd w:val="clear" w:color="auto" w:fill="auto"/>
          </w:tcPr>
          <w:p w14:paraId="23963FD2"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Yes</w:t>
            </w:r>
          </w:p>
        </w:tc>
        <w:tc>
          <w:tcPr>
            <w:tcW w:w="1559" w:type="dxa"/>
            <w:shd w:val="clear" w:color="auto" w:fill="auto"/>
          </w:tcPr>
          <w:p w14:paraId="561B2FCF"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N/A</w:t>
            </w:r>
          </w:p>
        </w:tc>
        <w:tc>
          <w:tcPr>
            <w:tcW w:w="1417" w:type="dxa"/>
          </w:tcPr>
          <w:p w14:paraId="6C05EDD7"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 xml:space="preserve">If UE does not support this feature, the HARQ process is number is limited. </w:t>
            </w:r>
          </w:p>
        </w:tc>
        <w:tc>
          <w:tcPr>
            <w:tcW w:w="1276" w:type="dxa"/>
            <w:shd w:val="clear" w:color="auto" w:fill="auto"/>
          </w:tcPr>
          <w:p w14:paraId="3A82428C"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Per UE</w:t>
            </w:r>
          </w:p>
        </w:tc>
        <w:tc>
          <w:tcPr>
            <w:tcW w:w="992" w:type="dxa"/>
            <w:shd w:val="clear" w:color="auto" w:fill="auto"/>
          </w:tcPr>
          <w:p w14:paraId="323FCF00"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No</w:t>
            </w:r>
          </w:p>
        </w:tc>
        <w:tc>
          <w:tcPr>
            <w:tcW w:w="993" w:type="dxa"/>
            <w:shd w:val="clear" w:color="auto" w:fill="auto"/>
          </w:tcPr>
          <w:p w14:paraId="54F4FA2E"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FR1 only</w:t>
            </w:r>
          </w:p>
        </w:tc>
        <w:tc>
          <w:tcPr>
            <w:tcW w:w="1842" w:type="dxa"/>
          </w:tcPr>
          <w:p w14:paraId="552EA5FA"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N/A</w:t>
            </w:r>
          </w:p>
        </w:tc>
        <w:tc>
          <w:tcPr>
            <w:tcW w:w="1843" w:type="dxa"/>
            <w:shd w:val="clear" w:color="auto" w:fill="auto"/>
          </w:tcPr>
          <w:p w14:paraId="79A25DE7" w14:textId="77777777" w:rsidR="00EB51CC" w:rsidRPr="00EB51CC" w:rsidRDefault="00EB51CC" w:rsidP="00EB51CC">
            <w:pPr>
              <w:rPr>
                <w:rFonts w:ascii="Times New Roman" w:hAnsi="Times New Roman" w:cs="Times New Roman"/>
                <w:color w:val="000000"/>
                <w:sz w:val="20"/>
                <w:szCs w:val="20"/>
              </w:rPr>
            </w:pPr>
          </w:p>
        </w:tc>
        <w:tc>
          <w:tcPr>
            <w:tcW w:w="1276" w:type="dxa"/>
            <w:shd w:val="clear" w:color="auto" w:fill="auto"/>
          </w:tcPr>
          <w:p w14:paraId="64F9714F"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Optional with capability signalling</w:t>
            </w:r>
          </w:p>
          <w:p w14:paraId="507CD06B" w14:textId="77777777" w:rsidR="00EB51CC" w:rsidRPr="00EB51CC" w:rsidRDefault="00EB51CC" w:rsidP="00EB51CC">
            <w:pPr>
              <w:rPr>
                <w:rFonts w:ascii="Times New Roman" w:hAnsi="Times New Roman" w:cs="Times New Roman"/>
                <w:color w:val="000000"/>
                <w:sz w:val="20"/>
                <w:szCs w:val="20"/>
              </w:rPr>
            </w:pPr>
          </w:p>
        </w:tc>
      </w:tr>
      <w:tr w:rsidR="00EB51CC" w:rsidRPr="00EB51CC" w14:paraId="25ADFAF4" w14:textId="77777777" w:rsidTr="00305BD9">
        <w:trPr>
          <w:trHeight w:val="1833"/>
        </w:trPr>
        <w:tc>
          <w:tcPr>
            <w:tcW w:w="1559" w:type="dxa"/>
            <w:shd w:val="clear" w:color="auto" w:fill="auto"/>
          </w:tcPr>
          <w:p w14:paraId="48FA7CAC"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K1 range extension</w:t>
            </w:r>
          </w:p>
        </w:tc>
        <w:tc>
          <w:tcPr>
            <w:tcW w:w="5103" w:type="dxa"/>
            <w:shd w:val="clear" w:color="auto" w:fill="auto"/>
          </w:tcPr>
          <w:p w14:paraId="4C8DB264"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Support of extended K1 value range of (0..31) for unpaired spectrum</w:t>
            </w:r>
          </w:p>
        </w:tc>
        <w:tc>
          <w:tcPr>
            <w:tcW w:w="1560" w:type="dxa"/>
            <w:shd w:val="clear" w:color="auto" w:fill="auto"/>
          </w:tcPr>
          <w:p w14:paraId="73019359" w14:textId="77777777" w:rsidR="00EB51CC" w:rsidRPr="00EB51CC" w:rsidRDefault="00EB51CC" w:rsidP="00EB51CC">
            <w:pPr>
              <w:rPr>
                <w:rFonts w:ascii="Times New Roman" w:hAnsi="Times New Roman" w:cs="Times New Roman"/>
                <w:color w:val="000000"/>
                <w:sz w:val="20"/>
                <w:szCs w:val="20"/>
              </w:rPr>
            </w:pPr>
          </w:p>
        </w:tc>
        <w:tc>
          <w:tcPr>
            <w:tcW w:w="1134" w:type="dxa"/>
            <w:shd w:val="clear" w:color="auto" w:fill="auto"/>
          </w:tcPr>
          <w:p w14:paraId="1E7EA230"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Yes</w:t>
            </w:r>
          </w:p>
        </w:tc>
        <w:tc>
          <w:tcPr>
            <w:tcW w:w="1559" w:type="dxa"/>
            <w:shd w:val="clear" w:color="auto" w:fill="auto"/>
          </w:tcPr>
          <w:p w14:paraId="7B20D1CB"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N/A</w:t>
            </w:r>
          </w:p>
        </w:tc>
        <w:tc>
          <w:tcPr>
            <w:tcW w:w="1417" w:type="dxa"/>
          </w:tcPr>
          <w:p w14:paraId="351D4817"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If UE does not support this feature, K1 value is limited.</w:t>
            </w:r>
          </w:p>
        </w:tc>
        <w:tc>
          <w:tcPr>
            <w:tcW w:w="1276" w:type="dxa"/>
            <w:shd w:val="clear" w:color="auto" w:fill="auto"/>
          </w:tcPr>
          <w:p w14:paraId="3F637133"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Per UE</w:t>
            </w:r>
          </w:p>
        </w:tc>
        <w:tc>
          <w:tcPr>
            <w:tcW w:w="992" w:type="dxa"/>
            <w:shd w:val="clear" w:color="auto" w:fill="auto"/>
          </w:tcPr>
          <w:p w14:paraId="64FA7902"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TDD only</w:t>
            </w:r>
          </w:p>
        </w:tc>
        <w:tc>
          <w:tcPr>
            <w:tcW w:w="993" w:type="dxa"/>
            <w:shd w:val="clear" w:color="auto" w:fill="auto"/>
          </w:tcPr>
          <w:p w14:paraId="78012681"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FR1 only</w:t>
            </w:r>
          </w:p>
        </w:tc>
        <w:tc>
          <w:tcPr>
            <w:tcW w:w="1842" w:type="dxa"/>
          </w:tcPr>
          <w:p w14:paraId="5F2F0877"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N/A</w:t>
            </w:r>
          </w:p>
        </w:tc>
        <w:tc>
          <w:tcPr>
            <w:tcW w:w="1843" w:type="dxa"/>
            <w:shd w:val="clear" w:color="auto" w:fill="auto"/>
          </w:tcPr>
          <w:p w14:paraId="2A64A2C3" w14:textId="77777777" w:rsidR="00EB51CC" w:rsidRPr="00EB51CC" w:rsidRDefault="00EB51CC" w:rsidP="00EB51CC">
            <w:pPr>
              <w:rPr>
                <w:rFonts w:ascii="Times New Roman" w:hAnsi="Times New Roman" w:cs="Times New Roman"/>
                <w:color w:val="000000"/>
                <w:sz w:val="20"/>
                <w:szCs w:val="20"/>
              </w:rPr>
            </w:pPr>
          </w:p>
        </w:tc>
        <w:tc>
          <w:tcPr>
            <w:tcW w:w="1276" w:type="dxa"/>
            <w:shd w:val="clear" w:color="auto" w:fill="auto"/>
          </w:tcPr>
          <w:p w14:paraId="71C4CB09" w14:textId="77777777" w:rsidR="00EB51CC" w:rsidRPr="00EB51CC" w:rsidRDefault="00EB51CC" w:rsidP="00EB51CC">
            <w:pPr>
              <w:rPr>
                <w:rFonts w:ascii="Times New Roman" w:hAnsi="Times New Roman" w:cs="Times New Roman"/>
                <w:color w:val="000000"/>
                <w:sz w:val="20"/>
                <w:szCs w:val="20"/>
              </w:rPr>
            </w:pPr>
            <w:r w:rsidRPr="00EB51CC">
              <w:rPr>
                <w:rFonts w:ascii="Times New Roman" w:hAnsi="Times New Roman" w:cs="Times New Roman"/>
                <w:color w:val="000000"/>
                <w:sz w:val="20"/>
                <w:szCs w:val="20"/>
              </w:rPr>
              <w:t>Optional with capability signalling</w:t>
            </w:r>
          </w:p>
        </w:tc>
      </w:tr>
      <w:bookmarkEnd w:id="7"/>
      <w:bookmarkEnd w:id="8"/>
      <w:bookmarkEnd w:id="9"/>
      <w:bookmarkEnd w:id="10"/>
      <w:bookmarkEnd w:id="11"/>
      <w:bookmarkEnd w:id="12"/>
      <w:bookmarkEnd w:id="13"/>
      <w:bookmarkEnd w:id="14"/>
      <w:bookmarkEnd w:id="15"/>
      <w:bookmarkEnd w:id="16"/>
      <w:bookmarkEnd w:id="17"/>
      <w:bookmarkEnd w:id="18"/>
      <w:bookmarkEnd w:id="19"/>
      <w:bookmarkEnd w:id="20"/>
    </w:tbl>
    <w:p w14:paraId="3E01B653" w14:textId="77777777" w:rsidR="00EB51CC" w:rsidRPr="00EB51CC" w:rsidRDefault="00EB51CC" w:rsidP="00305BD9">
      <w:pPr>
        <w:tabs>
          <w:tab w:val="left" w:pos="1134"/>
        </w:tabs>
        <w:spacing w:before="120" w:after="120"/>
        <w:rPr>
          <w:rFonts w:eastAsia="等线" w:cs="Times New Roman" w:hint="eastAsia"/>
          <w:iCs/>
          <w:sz w:val="20"/>
          <w:szCs w:val="20"/>
        </w:rPr>
      </w:pPr>
    </w:p>
    <w:sectPr w:rsidR="00EB51CC" w:rsidRPr="00EB51CC" w:rsidSect="00D66A13">
      <w:footerReference w:type="default" r:id="rId10"/>
      <w:pgSz w:w="23811" w:h="16838" w:orient="landscape" w:code="8"/>
      <w:pgMar w:top="1134" w:right="1417"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89180" w14:textId="77777777" w:rsidR="00D66A13" w:rsidRDefault="00D66A13">
      <w:r>
        <w:separator/>
      </w:r>
    </w:p>
  </w:endnote>
  <w:endnote w:type="continuationSeparator" w:id="0">
    <w:p w14:paraId="3BFFF550" w14:textId="77777777" w:rsidR="00D66A13" w:rsidRDefault="00D6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D6A5" w14:textId="77777777" w:rsidR="006A3B9B"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2506" w14:textId="77777777" w:rsidR="00992377" w:rsidRDefault="00992377">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8FDA5" w14:textId="77777777" w:rsidR="00D66A13" w:rsidRDefault="00D66A13">
      <w:r>
        <w:separator/>
      </w:r>
    </w:p>
  </w:footnote>
  <w:footnote w:type="continuationSeparator" w:id="0">
    <w:p w14:paraId="7D21A587" w14:textId="77777777" w:rsidR="00D66A13" w:rsidRDefault="00D66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7656342"/>
    <w:multiLevelType w:val="hybridMultilevel"/>
    <w:tmpl w:val="31C001E4"/>
    <w:lvl w:ilvl="0" w:tplc="07C8D802">
      <w:start w:val="1"/>
      <w:numFmt w:val="bullet"/>
      <w:lvlText w:val="•"/>
      <w:lvlJc w:val="center"/>
      <w:pPr>
        <w:ind w:left="440" w:hanging="440"/>
      </w:pPr>
      <w:rPr>
        <w:rFonts w:ascii="Arial" w:hAnsi="Arial"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C35026"/>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79B29A7"/>
    <w:multiLevelType w:val="hybridMultilevel"/>
    <w:tmpl w:val="C5889A04"/>
    <w:lvl w:ilvl="0" w:tplc="699AAB2C">
      <w:numFmt w:val="bullet"/>
      <w:lvlText w:val="•"/>
      <w:lvlJc w:val="left"/>
      <w:pPr>
        <w:ind w:left="990" w:hanging="990"/>
      </w:pPr>
      <w:rPr>
        <w:rFonts w:ascii="等线" w:eastAsia="等线" w:hAnsi="等线" w:cs="Times New Roman" w:hint="eastAsia"/>
      </w:rPr>
    </w:lvl>
    <w:lvl w:ilvl="1" w:tplc="229E4C56">
      <w:numFmt w:val="bullet"/>
      <w:lvlText w:val=""/>
      <w:lvlJc w:val="left"/>
      <w:pPr>
        <w:ind w:left="1430" w:hanging="990"/>
      </w:pPr>
      <w:rPr>
        <w:rFonts w:ascii="Wingdings" w:eastAsia="等线" w:hAnsi="Wingdings"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4053"/>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6ACE28E9"/>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59377247">
    <w:abstractNumId w:val="1"/>
  </w:num>
  <w:num w:numId="2" w16cid:durableId="47343505">
    <w:abstractNumId w:val="14"/>
  </w:num>
  <w:num w:numId="3" w16cid:durableId="1607955186">
    <w:abstractNumId w:val="2"/>
  </w:num>
  <w:num w:numId="4" w16cid:durableId="1237588972">
    <w:abstractNumId w:val="9"/>
  </w:num>
  <w:num w:numId="5" w16cid:durableId="1170096292">
    <w:abstractNumId w:val="17"/>
  </w:num>
  <w:num w:numId="6" w16cid:durableId="76093926">
    <w:abstractNumId w:val="19"/>
  </w:num>
  <w:num w:numId="7" w16cid:durableId="1093009642">
    <w:abstractNumId w:val="10"/>
    <w:lvlOverride w:ilvl="0">
      <w:startOverride w:val="1"/>
    </w:lvlOverride>
  </w:num>
  <w:num w:numId="8" w16cid:durableId="1593856279">
    <w:abstractNumId w:val="8"/>
  </w:num>
  <w:num w:numId="9" w16cid:durableId="326322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2104179">
    <w:abstractNumId w:val="11"/>
  </w:num>
  <w:num w:numId="11" w16cid:durableId="833105538">
    <w:abstractNumId w:val="0"/>
  </w:num>
  <w:num w:numId="12" w16cid:durableId="263999601">
    <w:abstractNumId w:val="12"/>
  </w:num>
  <w:num w:numId="13" w16cid:durableId="18544954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9849102">
    <w:abstractNumId w:val="5"/>
  </w:num>
  <w:num w:numId="15" w16cid:durableId="1387875623">
    <w:abstractNumId w:val="3"/>
  </w:num>
  <w:num w:numId="16" w16cid:durableId="327293364">
    <w:abstractNumId w:val="7"/>
  </w:num>
  <w:num w:numId="17" w16cid:durableId="381179613">
    <w:abstractNumId w:val="15"/>
  </w:num>
  <w:num w:numId="18" w16cid:durableId="2102329865">
    <w:abstractNumId w:val="16"/>
  </w:num>
  <w:num w:numId="19" w16cid:durableId="2103722246">
    <w:abstractNumId w:val="4"/>
  </w:num>
  <w:num w:numId="20" w16cid:durableId="4784215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07D0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2F0"/>
    <w:rsid w:val="00036EF7"/>
    <w:rsid w:val="000376ED"/>
    <w:rsid w:val="00037954"/>
    <w:rsid w:val="000379F0"/>
    <w:rsid w:val="00037B23"/>
    <w:rsid w:val="00037B78"/>
    <w:rsid w:val="00037E60"/>
    <w:rsid w:val="00040117"/>
    <w:rsid w:val="0004082C"/>
    <w:rsid w:val="00040981"/>
    <w:rsid w:val="00040D37"/>
    <w:rsid w:val="0004156F"/>
    <w:rsid w:val="0004224A"/>
    <w:rsid w:val="00042A4D"/>
    <w:rsid w:val="00042E2C"/>
    <w:rsid w:val="000437CA"/>
    <w:rsid w:val="000439A8"/>
    <w:rsid w:val="00044304"/>
    <w:rsid w:val="0004446D"/>
    <w:rsid w:val="000446FC"/>
    <w:rsid w:val="00044819"/>
    <w:rsid w:val="00044CB5"/>
    <w:rsid w:val="00044D3F"/>
    <w:rsid w:val="000450D7"/>
    <w:rsid w:val="00045C93"/>
    <w:rsid w:val="00046127"/>
    <w:rsid w:val="0004655C"/>
    <w:rsid w:val="00047536"/>
    <w:rsid w:val="000475BF"/>
    <w:rsid w:val="000500CF"/>
    <w:rsid w:val="0005016F"/>
    <w:rsid w:val="000507B2"/>
    <w:rsid w:val="00050AC7"/>
    <w:rsid w:val="000510BF"/>
    <w:rsid w:val="000510E7"/>
    <w:rsid w:val="000523B6"/>
    <w:rsid w:val="000527E7"/>
    <w:rsid w:val="00052DEC"/>
    <w:rsid w:val="00052ECA"/>
    <w:rsid w:val="000535B2"/>
    <w:rsid w:val="00053B6F"/>
    <w:rsid w:val="00053C3F"/>
    <w:rsid w:val="000546D0"/>
    <w:rsid w:val="00054A81"/>
    <w:rsid w:val="00054F34"/>
    <w:rsid w:val="00055761"/>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A4F"/>
    <w:rsid w:val="000620FF"/>
    <w:rsid w:val="000621AE"/>
    <w:rsid w:val="00062315"/>
    <w:rsid w:val="00062C0B"/>
    <w:rsid w:val="00063402"/>
    <w:rsid w:val="00063581"/>
    <w:rsid w:val="000635A7"/>
    <w:rsid w:val="00063E3A"/>
    <w:rsid w:val="00063F5E"/>
    <w:rsid w:val="000647F4"/>
    <w:rsid w:val="00064B32"/>
    <w:rsid w:val="00064F8E"/>
    <w:rsid w:val="0006542A"/>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3D80"/>
    <w:rsid w:val="0008407D"/>
    <w:rsid w:val="0008429A"/>
    <w:rsid w:val="00084592"/>
    <w:rsid w:val="000846EB"/>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2FD5"/>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544"/>
    <w:rsid w:val="000B3813"/>
    <w:rsid w:val="000B3913"/>
    <w:rsid w:val="000B3B52"/>
    <w:rsid w:val="000B3BFB"/>
    <w:rsid w:val="000B4044"/>
    <w:rsid w:val="000B4924"/>
    <w:rsid w:val="000B4B23"/>
    <w:rsid w:val="000B5483"/>
    <w:rsid w:val="000B5725"/>
    <w:rsid w:val="000B5932"/>
    <w:rsid w:val="000B5B10"/>
    <w:rsid w:val="000B6E10"/>
    <w:rsid w:val="000B6ECA"/>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2A0C"/>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5897"/>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5E4"/>
    <w:rsid w:val="000D56AE"/>
    <w:rsid w:val="000D6492"/>
    <w:rsid w:val="000D6F7C"/>
    <w:rsid w:val="000D7513"/>
    <w:rsid w:val="000D766E"/>
    <w:rsid w:val="000E03DD"/>
    <w:rsid w:val="000E0956"/>
    <w:rsid w:val="000E0C6D"/>
    <w:rsid w:val="000E14DA"/>
    <w:rsid w:val="000E1856"/>
    <w:rsid w:val="000E2581"/>
    <w:rsid w:val="000E2F39"/>
    <w:rsid w:val="000E2FDC"/>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5C"/>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BEB"/>
    <w:rsid w:val="000F7E8F"/>
    <w:rsid w:val="000F7FC9"/>
    <w:rsid w:val="0010067A"/>
    <w:rsid w:val="0010120A"/>
    <w:rsid w:val="00101632"/>
    <w:rsid w:val="001019CB"/>
    <w:rsid w:val="00102BB4"/>
    <w:rsid w:val="00102F45"/>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4D30"/>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C03"/>
    <w:rsid w:val="00132F67"/>
    <w:rsid w:val="001332BD"/>
    <w:rsid w:val="00133541"/>
    <w:rsid w:val="0013375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193"/>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90"/>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1D4"/>
    <w:rsid w:val="00155214"/>
    <w:rsid w:val="0015597D"/>
    <w:rsid w:val="00155B85"/>
    <w:rsid w:val="00155B90"/>
    <w:rsid w:val="00155C10"/>
    <w:rsid w:val="00155D25"/>
    <w:rsid w:val="00155EE6"/>
    <w:rsid w:val="00155F0B"/>
    <w:rsid w:val="00155F86"/>
    <w:rsid w:val="001578A7"/>
    <w:rsid w:val="001579BC"/>
    <w:rsid w:val="00157BEF"/>
    <w:rsid w:val="00157FD9"/>
    <w:rsid w:val="00160301"/>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7E0"/>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521"/>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0ED1"/>
    <w:rsid w:val="001815D7"/>
    <w:rsid w:val="001816D8"/>
    <w:rsid w:val="001820B6"/>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3F7D"/>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50E"/>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159"/>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6FB4"/>
    <w:rsid w:val="001D7373"/>
    <w:rsid w:val="001D76C7"/>
    <w:rsid w:val="001D7921"/>
    <w:rsid w:val="001D7AAF"/>
    <w:rsid w:val="001D7F7B"/>
    <w:rsid w:val="001E128B"/>
    <w:rsid w:val="001E204C"/>
    <w:rsid w:val="001E2392"/>
    <w:rsid w:val="001E25C9"/>
    <w:rsid w:val="001E2B5E"/>
    <w:rsid w:val="001E2F20"/>
    <w:rsid w:val="001E36B1"/>
    <w:rsid w:val="001E3833"/>
    <w:rsid w:val="001E3E5E"/>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BB"/>
    <w:rsid w:val="002001CB"/>
    <w:rsid w:val="002008CD"/>
    <w:rsid w:val="00200D6C"/>
    <w:rsid w:val="00201182"/>
    <w:rsid w:val="00201301"/>
    <w:rsid w:val="0020192F"/>
    <w:rsid w:val="00201BAB"/>
    <w:rsid w:val="002020DC"/>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0D7"/>
    <w:rsid w:val="0024344B"/>
    <w:rsid w:val="00243621"/>
    <w:rsid w:val="00243707"/>
    <w:rsid w:val="00243CAA"/>
    <w:rsid w:val="00243D40"/>
    <w:rsid w:val="0024408D"/>
    <w:rsid w:val="00244166"/>
    <w:rsid w:val="00244F4B"/>
    <w:rsid w:val="00245098"/>
    <w:rsid w:val="00245124"/>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6D4"/>
    <w:rsid w:val="00257DD5"/>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3CB6"/>
    <w:rsid w:val="00264636"/>
    <w:rsid w:val="002648D8"/>
    <w:rsid w:val="00264B87"/>
    <w:rsid w:val="00264DF0"/>
    <w:rsid w:val="002652DB"/>
    <w:rsid w:val="00265EFC"/>
    <w:rsid w:val="0026604D"/>
    <w:rsid w:val="002661EC"/>
    <w:rsid w:val="00266427"/>
    <w:rsid w:val="0026694F"/>
    <w:rsid w:val="00266982"/>
    <w:rsid w:val="00267176"/>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10C"/>
    <w:rsid w:val="002813A6"/>
    <w:rsid w:val="0028160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957"/>
    <w:rsid w:val="002A3B5B"/>
    <w:rsid w:val="002A3EF2"/>
    <w:rsid w:val="002A3F7A"/>
    <w:rsid w:val="002A3F9B"/>
    <w:rsid w:val="002A4177"/>
    <w:rsid w:val="002A43A6"/>
    <w:rsid w:val="002A4E36"/>
    <w:rsid w:val="002A4EC4"/>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2AC"/>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9F9"/>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67A"/>
    <w:rsid w:val="002D3704"/>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2C"/>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5BD9"/>
    <w:rsid w:val="00306372"/>
    <w:rsid w:val="003064CB"/>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41D"/>
    <w:rsid w:val="003179F2"/>
    <w:rsid w:val="00317AAA"/>
    <w:rsid w:val="0032022D"/>
    <w:rsid w:val="003203F6"/>
    <w:rsid w:val="003207D5"/>
    <w:rsid w:val="003211CF"/>
    <w:rsid w:val="003214A2"/>
    <w:rsid w:val="00321537"/>
    <w:rsid w:val="003218AE"/>
    <w:rsid w:val="00321934"/>
    <w:rsid w:val="00321F6A"/>
    <w:rsid w:val="00322212"/>
    <w:rsid w:val="00323039"/>
    <w:rsid w:val="0032317A"/>
    <w:rsid w:val="003234A9"/>
    <w:rsid w:val="00323501"/>
    <w:rsid w:val="00323F71"/>
    <w:rsid w:val="00324227"/>
    <w:rsid w:val="00324486"/>
    <w:rsid w:val="00324945"/>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1F4"/>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B4B"/>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2A5"/>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012"/>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4BD"/>
    <w:rsid w:val="003B15F5"/>
    <w:rsid w:val="003B172E"/>
    <w:rsid w:val="003B1D6D"/>
    <w:rsid w:val="003B1EC3"/>
    <w:rsid w:val="003B26D6"/>
    <w:rsid w:val="003B2AD7"/>
    <w:rsid w:val="003B2E12"/>
    <w:rsid w:val="003B3934"/>
    <w:rsid w:val="003B3FF4"/>
    <w:rsid w:val="003B454C"/>
    <w:rsid w:val="003B4865"/>
    <w:rsid w:val="003B494E"/>
    <w:rsid w:val="003B4DEA"/>
    <w:rsid w:val="003B519F"/>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BA8"/>
    <w:rsid w:val="003C3CB9"/>
    <w:rsid w:val="003C437C"/>
    <w:rsid w:val="003C45F7"/>
    <w:rsid w:val="003C4B7A"/>
    <w:rsid w:val="003C4DDE"/>
    <w:rsid w:val="003C4EAF"/>
    <w:rsid w:val="003C54B3"/>
    <w:rsid w:val="003C5630"/>
    <w:rsid w:val="003C5720"/>
    <w:rsid w:val="003C57F7"/>
    <w:rsid w:val="003C625F"/>
    <w:rsid w:val="003C6304"/>
    <w:rsid w:val="003C671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3E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3F7E5B"/>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6C4"/>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5ED"/>
    <w:rsid w:val="00414C17"/>
    <w:rsid w:val="00414F1D"/>
    <w:rsid w:val="00415181"/>
    <w:rsid w:val="00415DA8"/>
    <w:rsid w:val="00415F4B"/>
    <w:rsid w:val="00415FB5"/>
    <w:rsid w:val="0041626A"/>
    <w:rsid w:val="004165AA"/>
    <w:rsid w:val="0041687B"/>
    <w:rsid w:val="004169CB"/>
    <w:rsid w:val="00417496"/>
    <w:rsid w:val="00417538"/>
    <w:rsid w:val="00417983"/>
    <w:rsid w:val="0042018E"/>
    <w:rsid w:val="004209E5"/>
    <w:rsid w:val="0042168E"/>
    <w:rsid w:val="004223A0"/>
    <w:rsid w:val="00422C8D"/>
    <w:rsid w:val="0042344A"/>
    <w:rsid w:val="00423C7F"/>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26D"/>
    <w:rsid w:val="00432417"/>
    <w:rsid w:val="00432783"/>
    <w:rsid w:val="0043279E"/>
    <w:rsid w:val="0043336B"/>
    <w:rsid w:val="004333CC"/>
    <w:rsid w:val="004334D6"/>
    <w:rsid w:val="004348FA"/>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487"/>
    <w:rsid w:val="004377EA"/>
    <w:rsid w:val="004379A3"/>
    <w:rsid w:val="00437A81"/>
    <w:rsid w:val="00440593"/>
    <w:rsid w:val="00440A2C"/>
    <w:rsid w:val="00441686"/>
    <w:rsid w:val="0044174C"/>
    <w:rsid w:val="0044192F"/>
    <w:rsid w:val="00441CD4"/>
    <w:rsid w:val="00441F8F"/>
    <w:rsid w:val="004422E1"/>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6BF2"/>
    <w:rsid w:val="00467152"/>
    <w:rsid w:val="0046742C"/>
    <w:rsid w:val="004676A2"/>
    <w:rsid w:val="00467C79"/>
    <w:rsid w:val="00470212"/>
    <w:rsid w:val="004704E2"/>
    <w:rsid w:val="00470732"/>
    <w:rsid w:val="00470935"/>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319"/>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5DB2"/>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A94"/>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2A8"/>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5B2"/>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0C69"/>
    <w:rsid w:val="00521DFB"/>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27"/>
    <w:rsid w:val="00525C9D"/>
    <w:rsid w:val="00525EC5"/>
    <w:rsid w:val="005260CE"/>
    <w:rsid w:val="005264BA"/>
    <w:rsid w:val="005264BD"/>
    <w:rsid w:val="0052699D"/>
    <w:rsid w:val="00526DA4"/>
    <w:rsid w:val="0052719A"/>
    <w:rsid w:val="00527628"/>
    <w:rsid w:val="00527FA6"/>
    <w:rsid w:val="00527FBB"/>
    <w:rsid w:val="00530189"/>
    <w:rsid w:val="00530F2A"/>
    <w:rsid w:val="00531254"/>
    <w:rsid w:val="0053137F"/>
    <w:rsid w:val="005318E6"/>
    <w:rsid w:val="00531A28"/>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2D0"/>
    <w:rsid w:val="005379B9"/>
    <w:rsid w:val="00537C15"/>
    <w:rsid w:val="00537EA6"/>
    <w:rsid w:val="0054002D"/>
    <w:rsid w:val="005401E5"/>
    <w:rsid w:val="0054077A"/>
    <w:rsid w:val="00540A3D"/>
    <w:rsid w:val="00540DED"/>
    <w:rsid w:val="00541108"/>
    <w:rsid w:val="005414ED"/>
    <w:rsid w:val="00541C37"/>
    <w:rsid w:val="00541C6E"/>
    <w:rsid w:val="00542262"/>
    <w:rsid w:val="00542541"/>
    <w:rsid w:val="005434B8"/>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420"/>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4B0"/>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24EF"/>
    <w:rsid w:val="005A3414"/>
    <w:rsid w:val="005A3D4D"/>
    <w:rsid w:val="005A5332"/>
    <w:rsid w:val="005A56D8"/>
    <w:rsid w:val="005A58F3"/>
    <w:rsid w:val="005A6023"/>
    <w:rsid w:val="005A6628"/>
    <w:rsid w:val="005A6D8A"/>
    <w:rsid w:val="005A6E67"/>
    <w:rsid w:val="005A70CA"/>
    <w:rsid w:val="005A752F"/>
    <w:rsid w:val="005B0460"/>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A8B"/>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3BE8"/>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1FA"/>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169"/>
    <w:rsid w:val="005F13EE"/>
    <w:rsid w:val="005F1594"/>
    <w:rsid w:val="005F15F8"/>
    <w:rsid w:val="005F1A20"/>
    <w:rsid w:val="005F274F"/>
    <w:rsid w:val="005F2DDB"/>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B73"/>
    <w:rsid w:val="00603C55"/>
    <w:rsid w:val="006042EB"/>
    <w:rsid w:val="0060430F"/>
    <w:rsid w:val="0060444B"/>
    <w:rsid w:val="00604FF5"/>
    <w:rsid w:val="006052CE"/>
    <w:rsid w:val="00605B3C"/>
    <w:rsid w:val="00605C38"/>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2C"/>
    <w:rsid w:val="0063087E"/>
    <w:rsid w:val="00630D19"/>
    <w:rsid w:val="00630F12"/>
    <w:rsid w:val="006311BD"/>
    <w:rsid w:val="006319A9"/>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BF4"/>
    <w:rsid w:val="00636EFC"/>
    <w:rsid w:val="00637006"/>
    <w:rsid w:val="006372EB"/>
    <w:rsid w:val="0063740E"/>
    <w:rsid w:val="00637540"/>
    <w:rsid w:val="0063754A"/>
    <w:rsid w:val="00637A27"/>
    <w:rsid w:val="00637BF8"/>
    <w:rsid w:val="00637D94"/>
    <w:rsid w:val="00640EF2"/>
    <w:rsid w:val="00640F13"/>
    <w:rsid w:val="00641EDF"/>
    <w:rsid w:val="006425D9"/>
    <w:rsid w:val="00642607"/>
    <w:rsid w:val="00642883"/>
    <w:rsid w:val="00642884"/>
    <w:rsid w:val="00642AE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2FFC"/>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3B9B"/>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27E2"/>
    <w:rsid w:val="006D35B8"/>
    <w:rsid w:val="006D3F24"/>
    <w:rsid w:val="006D4BF0"/>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3862"/>
    <w:rsid w:val="006E4065"/>
    <w:rsid w:val="006E407C"/>
    <w:rsid w:val="006E44D6"/>
    <w:rsid w:val="006E4567"/>
    <w:rsid w:val="006E53F2"/>
    <w:rsid w:val="006E5EC1"/>
    <w:rsid w:val="006E6C74"/>
    <w:rsid w:val="006E6D39"/>
    <w:rsid w:val="006E6F07"/>
    <w:rsid w:val="006E7038"/>
    <w:rsid w:val="006E7705"/>
    <w:rsid w:val="006E77A6"/>
    <w:rsid w:val="006E7CEA"/>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2B2"/>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00B"/>
    <w:rsid w:val="0070633F"/>
    <w:rsid w:val="00706771"/>
    <w:rsid w:val="0070680F"/>
    <w:rsid w:val="007068FB"/>
    <w:rsid w:val="00706B27"/>
    <w:rsid w:val="007072BD"/>
    <w:rsid w:val="00707468"/>
    <w:rsid w:val="00707C8C"/>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04"/>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590"/>
    <w:rsid w:val="00755DD7"/>
    <w:rsid w:val="00755F84"/>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89F"/>
    <w:rsid w:val="00762ED1"/>
    <w:rsid w:val="00762F09"/>
    <w:rsid w:val="00762F20"/>
    <w:rsid w:val="007630F9"/>
    <w:rsid w:val="0076342D"/>
    <w:rsid w:val="0076381F"/>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B7FEC"/>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BCB"/>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763"/>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4EF3"/>
    <w:rsid w:val="0081519E"/>
    <w:rsid w:val="008151A0"/>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6CB"/>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820"/>
    <w:rsid w:val="00845A74"/>
    <w:rsid w:val="00846078"/>
    <w:rsid w:val="008463FB"/>
    <w:rsid w:val="008465AF"/>
    <w:rsid w:val="00846D9D"/>
    <w:rsid w:val="00847400"/>
    <w:rsid w:val="00847AF2"/>
    <w:rsid w:val="00847E67"/>
    <w:rsid w:val="0085086C"/>
    <w:rsid w:val="00850B8F"/>
    <w:rsid w:val="00850BA8"/>
    <w:rsid w:val="0085125E"/>
    <w:rsid w:val="00851A6B"/>
    <w:rsid w:val="00851D1F"/>
    <w:rsid w:val="00851F58"/>
    <w:rsid w:val="0085229F"/>
    <w:rsid w:val="008522E9"/>
    <w:rsid w:val="0085231D"/>
    <w:rsid w:val="00852804"/>
    <w:rsid w:val="0085297F"/>
    <w:rsid w:val="00852D50"/>
    <w:rsid w:val="00853043"/>
    <w:rsid w:val="0085316A"/>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8E1"/>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3FDC"/>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04"/>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9F6"/>
    <w:rsid w:val="008B0CAD"/>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820"/>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04"/>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8B0"/>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CB"/>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5EC"/>
    <w:rsid w:val="009056F0"/>
    <w:rsid w:val="00905B2C"/>
    <w:rsid w:val="00906223"/>
    <w:rsid w:val="0090639D"/>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2A"/>
    <w:rsid w:val="009127B8"/>
    <w:rsid w:val="009129C5"/>
    <w:rsid w:val="00912AA7"/>
    <w:rsid w:val="00912D54"/>
    <w:rsid w:val="00912DDE"/>
    <w:rsid w:val="0091314A"/>
    <w:rsid w:val="009134AE"/>
    <w:rsid w:val="00913898"/>
    <w:rsid w:val="0091398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32E"/>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58A"/>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51E"/>
    <w:rsid w:val="0097592D"/>
    <w:rsid w:val="00975A86"/>
    <w:rsid w:val="00976075"/>
    <w:rsid w:val="0097649B"/>
    <w:rsid w:val="009766BC"/>
    <w:rsid w:val="00976C4D"/>
    <w:rsid w:val="00977411"/>
    <w:rsid w:val="00977699"/>
    <w:rsid w:val="00980108"/>
    <w:rsid w:val="00980330"/>
    <w:rsid w:val="00980543"/>
    <w:rsid w:val="009806D0"/>
    <w:rsid w:val="00980C9A"/>
    <w:rsid w:val="00980CFF"/>
    <w:rsid w:val="009811DD"/>
    <w:rsid w:val="0098147F"/>
    <w:rsid w:val="00981D40"/>
    <w:rsid w:val="009822FA"/>
    <w:rsid w:val="0098239B"/>
    <w:rsid w:val="0098264C"/>
    <w:rsid w:val="00982AA0"/>
    <w:rsid w:val="009832A0"/>
    <w:rsid w:val="00983763"/>
    <w:rsid w:val="00983858"/>
    <w:rsid w:val="0098387A"/>
    <w:rsid w:val="00983900"/>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77"/>
    <w:rsid w:val="009923EF"/>
    <w:rsid w:val="009925B6"/>
    <w:rsid w:val="00992828"/>
    <w:rsid w:val="00992B49"/>
    <w:rsid w:val="00993077"/>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4C0B"/>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440"/>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9C4"/>
    <w:rsid w:val="009C0D06"/>
    <w:rsid w:val="009C10AF"/>
    <w:rsid w:val="009C1128"/>
    <w:rsid w:val="009C11E7"/>
    <w:rsid w:val="009C1933"/>
    <w:rsid w:val="009C2601"/>
    <w:rsid w:val="009C27C0"/>
    <w:rsid w:val="009C2877"/>
    <w:rsid w:val="009C2DF5"/>
    <w:rsid w:val="009C33CD"/>
    <w:rsid w:val="009C3854"/>
    <w:rsid w:val="009C3891"/>
    <w:rsid w:val="009C3A85"/>
    <w:rsid w:val="009C3ECE"/>
    <w:rsid w:val="009C3F61"/>
    <w:rsid w:val="009C4474"/>
    <w:rsid w:val="009C5570"/>
    <w:rsid w:val="009C57D8"/>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156"/>
    <w:rsid w:val="009D1431"/>
    <w:rsid w:val="009D1965"/>
    <w:rsid w:val="009D1F17"/>
    <w:rsid w:val="009D21B1"/>
    <w:rsid w:val="009D21EE"/>
    <w:rsid w:val="009D245D"/>
    <w:rsid w:val="009D2470"/>
    <w:rsid w:val="009D2B03"/>
    <w:rsid w:val="009D2D90"/>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7C3"/>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49D4"/>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1FA6"/>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0A32"/>
    <w:rsid w:val="00A311E9"/>
    <w:rsid w:val="00A314A3"/>
    <w:rsid w:val="00A31B01"/>
    <w:rsid w:val="00A31FE4"/>
    <w:rsid w:val="00A321A0"/>
    <w:rsid w:val="00A3299B"/>
    <w:rsid w:val="00A32B7E"/>
    <w:rsid w:val="00A32C5A"/>
    <w:rsid w:val="00A32E55"/>
    <w:rsid w:val="00A330C8"/>
    <w:rsid w:val="00A33BC1"/>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D54"/>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547"/>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41"/>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12"/>
    <w:rsid w:val="00A762DC"/>
    <w:rsid w:val="00A765E4"/>
    <w:rsid w:val="00A76DAE"/>
    <w:rsid w:val="00A809A3"/>
    <w:rsid w:val="00A81486"/>
    <w:rsid w:val="00A815EB"/>
    <w:rsid w:val="00A81BA8"/>
    <w:rsid w:val="00A81E55"/>
    <w:rsid w:val="00A8292A"/>
    <w:rsid w:val="00A82A12"/>
    <w:rsid w:val="00A83125"/>
    <w:rsid w:val="00A83176"/>
    <w:rsid w:val="00A832CA"/>
    <w:rsid w:val="00A83FDD"/>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292"/>
    <w:rsid w:val="00A928B4"/>
    <w:rsid w:val="00A92BB3"/>
    <w:rsid w:val="00A92D9A"/>
    <w:rsid w:val="00A92E2F"/>
    <w:rsid w:val="00A92FC6"/>
    <w:rsid w:val="00A92FC9"/>
    <w:rsid w:val="00A94178"/>
    <w:rsid w:val="00A941C8"/>
    <w:rsid w:val="00A94285"/>
    <w:rsid w:val="00A9433B"/>
    <w:rsid w:val="00A943B6"/>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C41"/>
    <w:rsid w:val="00AA3F2F"/>
    <w:rsid w:val="00AA3F87"/>
    <w:rsid w:val="00AA53F9"/>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7C"/>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2F9F"/>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1EE"/>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8B9"/>
    <w:rsid w:val="00B129F4"/>
    <w:rsid w:val="00B12D8F"/>
    <w:rsid w:val="00B13B99"/>
    <w:rsid w:val="00B13EC8"/>
    <w:rsid w:val="00B14089"/>
    <w:rsid w:val="00B1408B"/>
    <w:rsid w:val="00B1432E"/>
    <w:rsid w:val="00B14670"/>
    <w:rsid w:val="00B14713"/>
    <w:rsid w:val="00B14C70"/>
    <w:rsid w:val="00B15220"/>
    <w:rsid w:val="00B152B0"/>
    <w:rsid w:val="00B154B3"/>
    <w:rsid w:val="00B15578"/>
    <w:rsid w:val="00B15714"/>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7E"/>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43F8"/>
    <w:rsid w:val="00B4579C"/>
    <w:rsid w:val="00B46368"/>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5E7"/>
    <w:rsid w:val="00B566FB"/>
    <w:rsid w:val="00B56991"/>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807"/>
    <w:rsid w:val="00B70A77"/>
    <w:rsid w:val="00B70AE6"/>
    <w:rsid w:val="00B70AE9"/>
    <w:rsid w:val="00B717F0"/>
    <w:rsid w:val="00B718E0"/>
    <w:rsid w:val="00B71D69"/>
    <w:rsid w:val="00B723E0"/>
    <w:rsid w:val="00B729A7"/>
    <w:rsid w:val="00B72A15"/>
    <w:rsid w:val="00B72F6B"/>
    <w:rsid w:val="00B72F95"/>
    <w:rsid w:val="00B736B9"/>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884"/>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2F2"/>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A4E"/>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64E"/>
    <w:rsid w:val="00BD386D"/>
    <w:rsid w:val="00BD3B8C"/>
    <w:rsid w:val="00BD40E9"/>
    <w:rsid w:val="00BD433B"/>
    <w:rsid w:val="00BD4507"/>
    <w:rsid w:val="00BD451E"/>
    <w:rsid w:val="00BD47F5"/>
    <w:rsid w:val="00BD4812"/>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631"/>
    <w:rsid w:val="00C05747"/>
    <w:rsid w:val="00C05AC4"/>
    <w:rsid w:val="00C05CEC"/>
    <w:rsid w:val="00C05E18"/>
    <w:rsid w:val="00C062AA"/>
    <w:rsid w:val="00C0663C"/>
    <w:rsid w:val="00C077E6"/>
    <w:rsid w:val="00C0786C"/>
    <w:rsid w:val="00C07A30"/>
    <w:rsid w:val="00C07A92"/>
    <w:rsid w:val="00C101C5"/>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D44"/>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641"/>
    <w:rsid w:val="00C30895"/>
    <w:rsid w:val="00C30C4F"/>
    <w:rsid w:val="00C30C88"/>
    <w:rsid w:val="00C30F38"/>
    <w:rsid w:val="00C31A6A"/>
    <w:rsid w:val="00C31BD5"/>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F37"/>
    <w:rsid w:val="00C42F52"/>
    <w:rsid w:val="00C43323"/>
    <w:rsid w:val="00C43749"/>
    <w:rsid w:val="00C43D51"/>
    <w:rsid w:val="00C44011"/>
    <w:rsid w:val="00C440C7"/>
    <w:rsid w:val="00C4418F"/>
    <w:rsid w:val="00C44222"/>
    <w:rsid w:val="00C45439"/>
    <w:rsid w:val="00C45BB0"/>
    <w:rsid w:val="00C45C78"/>
    <w:rsid w:val="00C4671C"/>
    <w:rsid w:val="00C46DB4"/>
    <w:rsid w:val="00C46F1A"/>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D0F"/>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324"/>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9F9"/>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6E1E"/>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33C5"/>
    <w:rsid w:val="00C937BB"/>
    <w:rsid w:val="00C93CE8"/>
    <w:rsid w:val="00C94AA8"/>
    <w:rsid w:val="00C952B5"/>
    <w:rsid w:val="00C9531F"/>
    <w:rsid w:val="00C955C6"/>
    <w:rsid w:val="00C95640"/>
    <w:rsid w:val="00C95FD8"/>
    <w:rsid w:val="00C963CB"/>
    <w:rsid w:val="00C973B4"/>
    <w:rsid w:val="00C974C3"/>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B5A"/>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C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4BA"/>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4CD0"/>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0D4"/>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BFD"/>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4C"/>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AED"/>
    <w:rsid w:val="00D16CBE"/>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0A06"/>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1CA"/>
    <w:rsid w:val="00D4096D"/>
    <w:rsid w:val="00D40A15"/>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A13"/>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799"/>
    <w:rsid w:val="00D7687F"/>
    <w:rsid w:val="00D769C1"/>
    <w:rsid w:val="00D76D96"/>
    <w:rsid w:val="00D778DA"/>
    <w:rsid w:val="00D77A3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06D"/>
    <w:rsid w:val="00D8751D"/>
    <w:rsid w:val="00D87527"/>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5DF"/>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9FD"/>
    <w:rsid w:val="00DC7F6A"/>
    <w:rsid w:val="00DD02B3"/>
    <w:rsid w:val="00DD0579"/>
    <w:rsid w:val="00DD0902"/>
    <w:rsid w:val="00DD0B08"/>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91C"/>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835"/>
    <w:rsid w:val="00E15947"/>
    <w:rsid w:val="00E15B7E"/>
    <w:rsid w:val="00E15D11"/>
    <w:rsid w:val="00E162A5"/>
    <w:rsid w:val="00E16AD4"/>
    <w:rsid w:val="00E16F10"/>
    <w:rsid w:val="00E16F91"/>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17D"/>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351"/>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67E9"/>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3EB4"/>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1CC"/>
    <w:rsid w:val="00EB5CBA"/>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5F3E"/>
    <w:rsid w:val="00ED6193"/>
    <w:rsid w:val="00ED6244"/>
    <w:rsid w:val="00ED67E8"/>
    <w:rsid w:val="00ED6AB2"/>
    <w:rsid w:val="00ED737B"/>
    <w:rsid w:val="00ED774C"/>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5C66"/>
    <w:rsid w:val="00EF64AA"/>
    <w:rsid w:val="00EF665A"/>
    <w:rsid w:val="00EF6FFF"/>
    <w:rsid w:val="00F002EC"/>
    <w:rsid w:val="00F00442"/>
    <w:rsid w:val="00F00A33"/>
    <w:rsid w:val="00F00A7A"/>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2FE"/>
    <w:rsid w:val="00F073A0"/>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98B"/>
    <w:rsid w:val="00F13A60"/>
    <w:rsid w:val="00F13AAA"/>
    <w:rsid w:val="00F13AEA"/>
    <w:rsid w:val="00F13B75"/>
    <w:rsid w:val="00F13C77"/>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DFA"/>
    <w:rsid w:val="00F25FB8"/>
    <w:rsid w:val="00F2610A"/>
    <w:rsid w:val="00F26154"/>
    <w:rsid w:val="00F261E5"/>
    <w:rsid w:val="00F2631B"/>
    <w:rsid w:val="00F269EF"/>
    <w:rsid w:val="00F26B28"/>
    <w:rsid w:val="00F27B5F"/>
    <w:rsid w:val="00F27DD5"/>
    <w:rsid w:val="00F27FEB"/>
    <w:rsid w:val="00F30565"/>
    <w:rsid w:val="00F3080E"/>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176"/>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743"/>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1"/>
    <w:rsid w:val="00F8306E"/>
    <w:rsid w:val="00F832BB"/>
    <w:rsid w:val="00F832D9"/>
    <w:rsid w:val="00F8371C"/>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BFD"/>
    <w:rsid w:val="00F94DF8"/>
    <w:rsid w:val="00F95560"/>
    <w:rsid w:val="00F962F4"/>
    <w:rsid w:val="00F9642F"/>
    <w:rsid w:val="00F9682E"/>
    <w:rsid w:val="00F968B8"/>
    <w:rsid w:val="00F96F12"/>
    <w:rsid w:val="00F97000"/>
    <w:rsid w:val="00FA0317"/>
    <w:rsid w:val="00FA07B0"/>
    <w:rsid w:val="00FA0FBC"/>
    <w:rsid w:val="00FA1CE3"/>
    <w:rsid w:val="00FA1DA4"/>
    <w:rsid w:val="00FA1FBC"/>
    <w:rsid w:val="00FA262A"/>
    <w:rsid w:val="00FA2B1F"/>
    <w:rsid w:val="00FA2B81"/>
    <w:rsid w:val="00FA2D89"/>
    <w:rsid w:val="00FA2EEF"/>
    <w:rsid w:val="00FA3813"/>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A7DCD"/>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1E89"/>
    <w:rsid w:val="00FD221E"/>
    <w:rsid w:val="00FD295E"/>
    <w:rsid w:val="00FD2A4E"/>
    <w:rsid w:val="00FD2D9F"/>
    <w:rsid w:val="00FD2FE1"/>
    <w:rsid w:val="00FD32FA"/>
    <w:rsid w:val="00FD3383"/>
    <w:rsid w:val="00FD349E"/>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0"/>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61C"/>
    <w:rsid w:val="00FF3833"/>
    <w:rsid w:val="00FF3A00"/>
    <w:rsid w:val="00FF4025"/>
    <w:rsid w:val="00FF4421"/>
    <w:rsid w:val="00FF44CF"/>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FF33C"/>
  <w15:docId w15:val="{38537FBC-E465-48F8-8AFE-1BC596546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03B73"/>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styleId="affe">
    <w:name w:val="Revision"/>
    <w:hidden/>
    <w:uiPriority w:val="99"/>
    <w:unhideWhenUsed/>
    <w:rsid w:val="00B13B99"/>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1537</Words>
  <Characters>8764</Characters>
  <Application>Microsoft Office Word</Application>
  <DocSecurity>0</DocSecurity>
  <Lines>73</Lines>
  <Paragraphs>20</Paragraphs>
  <ScaleCrop>false</ScaleCrop>
  <Company>CMCC</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5</cp:revision>
  <dcterms:created xsi:type="dcterms:W3CDTF">2024-02-07T01:12:00Z</dcterms:created>
  <dcterms:modified xsi:type="dcterms:W3CDTF">2024-02-19T02:04:00Z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